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DE491" w14:textId="77777777" w:rsidR="00314047" w:rsidRPr="00214F5F" w:rsidRDefault="00314047" w:rsidP="00314047">
      <w:pPr>
        <w:spacing w:after="0"/>
        <w:jc w:val="center"/>
      </w:pPr>
      <w:bookmarkStart w:id="0" w:name="_Hlk222124731"/>
      <w:r w:rsidRPr="00214F5F">
        <w:t>STATE OF NORTH CAROLINA</w:t>
      </w:r>
    </w:p>
    <w:p w14:paraId="2B165569" w14:textId="77777777" w:rsidR="00314047" w:rsidRPr="00214F5F" w:rsidRDefault="00314047" w:rsidP="00314047">
      <w:pPr>
        <w:spacing w:after="0"/>
        <w:jc w:val="center"/>
      </w:pPr>
      <w:r w:rsidRPr="00214F5F">
        <w:t>DEPARTMENT OF INSURANCE</w:t>
      </w:r>
    </w:p>
    <w:p w14:paraId="12D7629B" w14:textId="77777777" w:rsidR="00314047" w:rsidRDefault="00314047" w:rsidP="00314047">
      <w:pPr>
        <w:spacing w:after="0"/>
        <w:jc w:val="center"/>
        <w:rPr>
          <w:rFonts w:cs="Times New Roman"/>
        </w:rPr>
      </w:pPr>
      <w:r w:rsidRPr="00214F5F">
        <w:rPr>
          <w:rFonts w:cs="Times New Roman"/>
        </w:rPr>
        <w:t xml:space="preserve">Financial Oversight &amp; Special Entities </w:t>
      </w:r>
      <w:r>
        <w:rPr>
          <w:rFonts w:cs="Times New Roman"/>
        </w:rPr>
        <w:t>Division</w:t>
      </w:r>
    </w:p>
    <w:p w14:paraId="6BEE9665" w14:textId="77777777" w:rsidR="00314047" w:rsidRPr="00A10900" w:rsidRDefault="00314047" w:rsidP="00314047">
      <w:pPr>
        <w:spacing w:after="240"/>
        <w:jc w:val="center"/>
        <w:rPr>
          <w:b/>
          <w:bCs/>
        </w:rPr>
      </w:pPr>
      <w:r w:rsidRPr="00A10900">
        <w:rPr>
          <w:b/>
          <w:bCs/>
        </w:rPr>
        <w:t>INTERPRETIVE POLICY STATEMENT</w:t>
      </w:r>
    </w:p>
    <w:p w14:paraId="3B0C8279" w14:textId="0156555B" w:rsidR="00314047" w:rsidRPr="00A10900" w:rsidRDefault="00314047" w:rsidP="00314047">
      <w:pPr>
        <w:pStyle w:val="Heading1"/>
        <w:spacing w:before="240" w:after="120"/>
        <w:rPr>
          <w:sz w:val="28"/>
          <w:szCs w:val="24"/>
        </w:rPr>
      </w:pPr>
      <w:r w:rsidRPr="00A10900">
        <w:rPr>
          <w:sz w:val="28"/>
          <w:szCs w:val="24"/>
        </w:rPr>
        <w:t>Policy No. 64A-IP-0</w:t>
      </w:r>
      <w:r>
        <w:rPr>
          <w:sz w:val="28"/>
          <w:szCs w:val="24"/>
        </w:rPr>
        <w:t>2</w:t>
      </w:r>
    </w:p>
    <w:p w14:paraId="69F63771" w14:textId="18CD780D" w:rsidR="00314047" w:rsidRPr="00A10900" w:rsidRDefault="00314047" w:rsidP="00314047">
      <w:pPr>
        <w:pStyle w:val="Heading2"/>
        <w:numPr>
          <w:ilvl w:val="0"/>
          <w:numId w:val="0"/>
        </w:numPr>
        <w:spacing w:before="0" w:after="240"/>
      </w:pPr>
      <w:r>
        <w:t xml:space="preserve">Application of </w:t>
      </w:r>
      <w:r w:rsidRPr="00EA58CC">
        <w:t>§</w:t>
      </w:r>
      <w:r>
        <w:t xml:space="preserve"> </w:t>
      </w:r>
      <w:r w:rsidRPr="00314047">
        <w:t>58-64A-360(b) Waiver Authority for Independent Member Attendance Requiremen</w:t>
      </w:r>
      <w:r>
        <w:t>t</w:t>
      </w:r>
    </w:p>
    <w:p w14:paraId="25B9E1F0" w14:textId="0CF7CB29" w:rsidR="00314047" w:rsidRPr="00874AAD" w:rsidRDefault="00314047" w:rsidP="00314047">
      <w:pPr>
        <w:spacing w:after="120"/>
        <w:rPr>
          <w:rFonts w:cs="Times New Roman"/>
        </w:rPr>
      </w:pPr>
      <w:r w:rsidRPr="00874AAD">
        <w:rPr>
          <w:rFonts w:cs="Times New Roman"/>
          <w:b/>
          <w:bCs/>
        </w:rPr>
        <w:t>Effective Date</w:t>
      </w:r>
      <w:r w:rsidRPr="00874AAD">
        <w:rPr>
          <w:rFonts w:cs="Times New Roman"/>
        </w:rPr>
        <w:t xml:space="preserve">: </w:t>
      </w:r>
      <w:r w:rsidR="00BA24E5">
        <w:rPr>
          <w:rFonts w:cs="Times New Roman"/>
        </w:rPr>
        <w:t>TBD</w:t>
      </w:r>
    </w:p>
    <w:p w14:paraId="671D7FA3" w14:textId="0D789946" w:rsidR="00314047" w:rsidRPr="00214F5F" w:rsidRDefault="00314047" w:rsidP="00314047">
      <w:pPr>
        <w:spacing w:after="120"/>
        <w:rPr>
          <w:rFonts w:cs="Times New Roman"/>
        </w:rPr>
      </w:pPr>
      <w:r w:rsidRPr="00214F5F">
        <w:rPr>
          <w:rFonts w:cs="Times New Roman"/>
          <w:b/>
          <w:bCs/>
        </w:rPr>
        <w:t xml:space="preserve">Authority: </w:t>
      </w:r>
      <w:r w:rsidRPr="00314047">
        <w:rPr>
          <w:rFonts w:cs="Times New Roman"/>
        </w:rPr>
        <w:t>N.C. Gen. Stat. §§ 58-64A-150(a)(22), 58-64A-360(b), and 58-64A-380</w:t>
      </w:r>
    </w:p>
    <w:p w14:paraId="71B68D0B" w14:textId="6FFD42DF" w:rsidR="00314047" w:rsidRDefault="00314047" w:rsidP="00314047">
      <w:pPr>
        <w:spacing w:after="120"/>
        <w:rPr>
          <w:rFonts w:cs="Times New Roman"/>
        </w:rPr>
      </w:pPr>
      <w:r w:rsidRPr="00214F5F">
        <w:rPr>
          <w:rFonts w:cs="Times New Roman"/>
          <w:b/>
          <w:bCs/>
        </w:rPr>
        <w:t xml:space="preserve">Applies To: </w:t>
      </w:r>
      <w:r w:rsidRPr="00314047">
        <w:rPr>
          <w:rFonts w:cs="Times New Roman"/>
        </w:rPr>
        <w:t>Continuing care providers licensed under Article 64A and Department personnel engaged in financial monitoring, disclosure review, and compliance oversight</w:t>
      </w:r>
      <w:r w:rsidRPr="00643722">
        <w:rPr>
          <w:rFonts w:cs="Times New Roman"/>
        </w:rPr>
        <w:t>.</w:t>
      </w:r>
    </w:p>
    <w:bookmarkEnd w:id="0"/>
    <w:p w14:paraId="023688CA" w14:textId="6186E0D8" w:rsidR="00462720" w:rsidRPr="00874AAD" w:rsidRDefault="006C1DCC" w:rsidP="00EC2882">
      <w:pPr>
        <w:pStyle w:val="Heading3"/>
      </w:pPr>
      <w:r w:rsidRPr="00EC2882">
        <w:t>Purpose</w:t>
      </w:r>
    </w:p>
    <w:p w14:paraId="10B385EB" w14:textId="77777777" w:rsidR="000E60CD" w:rsidRPr="000E60CD" w:rsidRDefault="000E60CD" w:rsidP="000E60CD">
      <w:pPr>
        <w:spacing w:after="120"/>
        <w:rPr>
          <w:rFonts w:cs="Times New Roman"/>
        </w:rPr>
      </w:pPr>
      <w:r w:rsidRPr="000E60CD">
        <w:rPr>
          <w:rFonts w:cs="Times New Roman"/>
        </w:rPr>
        <w:t>This policy provides guidance on applying the waiver provision in N.C. Gen. Stat. § 58-64A-360(b) when a provider seeks a waiver from the requirement that at least one independent member of the board of directors or other governing body attend the required semiannual resident meetings in person.</w:t>
      </w:r>
    </w:p>
    <w:p w14:paraId="7A5BBB28" w14:textId="77777777" w:rsidR="000E60CD" w:rsidRPr="000E60CD" w:rsidRDefault="000E60CD" w:rsidP="000E60CD">
      <w:pPr>
        <w:spacing w:after="120"/>
        <w:rPr>
          <w:rFonts w:cs="Times New Roman"/>
        </w:rPr>
      </w:pPr>
      <w:r w:rsidRPr="000E60CD">
        <w:rPr>
          <w:rFonts w:cs="Times New Roman"/>
        </w:rPr>
        <w:t>The statute authorizes the Commissioner to grant a waiver based on unique circumstances. This policy identifies factors the Department may consider in evaluating whether such unique circumstances exist and what conditions may be imposed to preserve the statutory goals of transparency, accountability, and resident engagement.</w:t>
      </w:r>
    </w:p>
    <w:p w14:paraId="012A5579" w14:textId="16810B4F" w:rsidR="00462720" w:rsidRPr="00874AAD" w:rsidRDefault="000E60CD" w:rsidP="000E60CD">
      <w:pPr>
        <w:spacing w:after="120"/>
        <w:rPr>
          <w:rFonts w:cs="Times New Roman"/>
        </w:rPr>
      </w:pPr>
      <w:r w:rsidRPr="000E60CD">
        <w:rPr>
          <w:rFonts w:cs="Times New Roman"/>
        </w:rPr>
        <w:t>This policy interprets and applies existing statutory requirements and does not create new substantive obligations beyond those established in Article 64A</w:t>
      </w:r>
      <w:r w:rsidR="000D2006" w:rsidRPr="000D2006">
        <w:rPr>
          <w:rFonts w:cs="Times New Roman"/>
        </w:rPr>
        <w:t>.</w:t>
      </w:r>
    </w:p>
    <w:p w14:paraId="501DBD41" w14:textId="7BABA28E" w:rsidR="00462720" w:rsidRPr="00874AAD" w:rsidRDefault="006C1DCC" w:rsidP="00EC2882">
      <w:pPr>
        <w:pStyle w:val="Heading3"/>
      </w:pPr>
      <w:r w:rsidRPr="00874AAD">
        <w:t>Background and Statutory Basis</w:t>
      </w:r>
    </w:p>
    <w:p w14:paraId="249B7A24" w14:textId="77777777" w:rsidR="000E60CD" w:rsidRPr="000E60CD" w:rsidRDefault="000E60CD" w:rsidP="000E60CD">
      <w:pPr>
        <w:spacing w:after="120"/>
        <w:rPr>
          <w:rFonts w:cs="Times New Roman"/>
        </w:rPr>
      </w:pPr>
      <w:r w:rsidRPr="000E60CD">
        <w:rPr>
          <w:rFonts w:cs="Times New Roman"/>
        </w:rPr>
        <w:t>Section 58-64A-360(b) requires that at least one independent member of the board of directors or other governing body of the provider attend semiannual resident meetings in person. This requirement reflects the General Assembly’s intent to ensure meaningful independent participation in communications between residents and provider leadership.</w:t>
      </w:r>
    </w:p>
    <w:p w14:paraId="1FF23D3A" w14:textId="3237E3E8" w:rsidR="00462720" w:rsidRPr="00874AAD" w:rsidRDefault="000E60CD" w:rsidP="000E60CD">
      <w:pPr>
        <w:spacing w:after="120"/>
        <w:rPr>
          <w:rFonts w:cs="Times New Roman"/>
        </w:rPr>
      </w:pPr>
      <w:r w:rsidRPr="000E60CD">
        <w:rPr>
          <w:rFonts w:cs="Times New Roman"/>
        </w:rPr>
        <w:t>The statute further authorizes the Commissioner to grant a waiver from this requirement based on unique circumstances. The determination of whether unique circumstances exist is committed to the Commissioner’s discretion</w:t>
      </w:r>
      <w:r w:rsidR="000D2006" w:rsidRPr="000D2006">
        <w:rPr>
          <w:rFonts w:cs="Times New Roman"/>
        </w:rPr>
        <w:t>.</w:t>
      </w:r>
    </w:p>
    <w:p w14:paraId="2B239FE8" w14:textId="7C4AB077" w:rsidR="00462720" w:rsidRPr="00874AAD" w:rsidRDefault="00880E7E" w:rsidP="00EC2882">
      <w:pPr>
        <w:pStyle w:val="Heading3"/>
      </w:pPr>
      <w:r>
        <w:t>When a Waiver May Be Considered</w:t>
      </w:r>
    </w:p>
    <w:p w14:paraId="15D8D219" w14:textId="7046A65C" w:rsidR="00BA24E5" w:rsidRPr="00BA24E5" w:rsidRDefault="00BA24E5" w:rsidP="00BA24E5">
      <w:pPr>
        <w:pStyle w:val="pdq2pgselectionanchorcontainer"/>
        <w:spacing w:before="0" w:beforeAutospacing="0" w:after="120" w:afterAutospacing="0" w:line="276" w:lineRule="auto"/>
      </w:pPr>
      <w:r w:rsidRPr="00BA24E5">
        <w:t xml:space="preserve">In evaluating a request for a waiver under § 58-64A-360(b), the Department will first determine whether the board of directors or other governing body exercising governance authority over the </w:t>
      </w:r>
      <w:r w:rsidRPr="00BA24E5">
        <w:lastRenderedPageBreak/>
        <w:t>provider includes at least one independent member capable of satisfying the statutory attendance requirement.</w:t>
      </w:r>
    </w:p>
    <w:p w14:paraId="6A7F5E0F" w14:textId="77777777" w:rsidR="00BA24E5" w:rsidRPr="00BA24E5" w:rsidRDefault="00BA24E5" w:rsidP="00BA24E5">
      <w:pPr>
        <w:pStyle w:val="NormalWeb"/>
        <w:spacing w:before="0" w:beforeAutospacing="0" w:after="120" w:afterAutospacing="0" w:line="276" w:lineRule="auto"/>
        <w:rPr>
          <w:b/>
          <w:bCs/>
        </w:rPr>
      </w:pPr>
      <w:r w:rsidRPr="00BA24E5">
        <w:rPr>
          <w:b/>
          <w:bCs/>
        </w:rPr>
        <w:t>Temporary Waiver</w:t>
      </w:r>
    </w:p>
    <w:p w14:paraId="334844E9" w14:textId="77777777" w:rsidR="00BA24E5" w:rsidRPr="00BA24E5" w:rsidRDefault="00BA24E5" w:rsidP="00BA24E5">
      <w:pPr>
        <w:pStyle w:val="NormalWeb"/>
        <w:spacing w:before="0" w:beforeAutospacing="0" w:after="120" w:afterAutospacing="0" w:line="276" w:lineRule="auto"/>
      </w:pPr>
      <w:r w:rsidRPr="00BA24E5">
        <w:t>If the board of directors or other governing body includes one or more independent members, at least one such independent member shall attend each semiannual resident meeting in person as required by § 58-64A-360(b), unless the Commissioner grants a waiver based on unique circumstances.</w:t>
      </w:r>
    </w:p>
    <w:p w14:paraId="768861DA" w14:textId="77777777" w:rsidR="00BA24E5" w:rsidRPr="00BA24E5" w:rsidRDefault="00BA24E5" w:rsidP="00BA24E5">
      <w:pPr>
        <w:pStyle w:val="NormalWeb"/>
        <w:spacing w:before="0" w:beforeAutospacing="0" w:after="120" w:afterAutospacing="0" w:line="276" w:lineRule="auto"/>
      </w:pPr>
      <w:r w:rsidRPr="00BA24E5">
        <w:t>A temporary waiver may be considered when temporary or unforeseen circumstances prevent an otherwise qualifying independent member from attending. Such circumstances may include death, serious illness, resignation, family emergency, or other circumstances determined by the Commissioner to constitute unique circumstances.</w:t>
      </w:r>
    </w:p>
    <w:p w14:paraId="691EE5C6" w14:textId="77777777" w:rsidR="00BA24E5" w:rsidRPr="00BA24E5" w:rsidRDefault="00BA24E5" w:rsidP="00BA24E5">
      <w:pPr>
        <w:pStyle w:val="NormalWeb"/>
        <w:spacing w:before="0" w:beforeAutospacing="0" w:after="120" w:afterAutospacing="0" w:line="276" w:lineRule="auto"/>
      </w:pPr>
      <w:r w:rsidRPr="00BA24E5">
        <w:t>Unless otherwise specified in the waiver approval, a temporary waiver shall apply only to the specific semiannual meeting or limited period identified in the approval. Temporary waivers ordinarily should not extend beyond a single semiannual meeting, and any extension will require additional justification.</w:t>
      </w:r>
    </w:p>
    <w:p w14:paraId="7F25D8C8" w14:textId="77777777" w:rsidR="00BA24E5" w:rsidRPr="00BA24E5" w:rsidRDefault="00BA24E5" w:rsidP="00BA24E5">
      <w:pPr>
        <w:pStyle w:val="NormalWeb"/>
        <w:spacing w:before="0" w:beforeAutospacing="0" w:after="120" w:afterAutospacing="0" w:line="276" w:lineRule="auto"/>
        <w:rPr>
          <w:b/>
          <w:bCs/>
        </w:rPr>
      </w:pPr>
      <w:r w:rsidRPr="00BA24E5">
        <w:rPr>
          <w:b/>
          <w:bCs/>
        </w:rPr>
        <w:t>Governance-Structure Waiver</w:t>
      </w:r>
    </w:p>
    <w:p w14:paraId="69FA7E7E" w14:textId="16A6452C" w:rsidR="00BA24E5" w:rsidRPr="00BA24E5" w:rsidRDefault="00716C1B" w:rsidP="00BA24E5">
      <w:pPr>
        <w:pStyle w:val="NormalWeb"/>
        <w:spacing w:before="0" w:beforeAutospacing="0" w:after="120" w:afterAutospacing="0" w:line="276" w:lineRule="auto"/>
      </w:pPr>
      <w:r w:rsidRPr="00716C1B">
        <w:t>If the board of directors or other governing body exercising governance authority over the provider does not include any independent member, the Commissioner may consider whether the provider's governance structure constitutes unique circumstances supporting a waiver.</w:t>
      </w:r>
    </w:p>
    <w:p w14:paraId="49D3A222" w14:textId="77777777" w:rsidR="00BA24E5" w:rsidRPr="00BA24E5" w:rsidRDefault="00BA24E5" w:rsidP="00BA24E5">
      <w:pPr>
        <w:pStyle w:val="NormalWeb"/>
        <w:spacing w:before="0" w:beforeAutospacing="0" w:after="120" w:afterAutospacing="0" w:line="276" w:lineRule="auto"/>
      </w:pPr>
      <w:r w:rsidRPr="00BA24E5">
        <w:t>In evaluating such a request, the Department will consider the provider's organizational and governance structure, the identity and responsibilities of the body or persons exercising governance or controlling authority over the provider, and the alternative attendance arrangement proposed by the provider. The Department's review will focus on whether the proposed arrangement preserves transparency, accountability, meaningful resident engagement, and effective communication of material resident concerns to individuals with authority to consider and act upon those concerns.</w:t>
      </w:r>
    </w:p>
    <w:p w14:paraId="56FFBD94" w14:textId="77777777" w:rsidR="00BA24E5" w:rsidRPr="00BA24E5" w:rsidRDefault="00BA24E5" w:rsidP="00BA24E5">
      <w:pPr>
        <w:pStyle w:val="NormalWeb"/>
        <w:spacing w:before="0" w:beforeAutospacing="0" w:after="120" w:afterAutospacing="0" w:line="276" w:lineRule="auto"/>
      </w:pPr>
      <w:r w:rsidRPr="00BA24E5">
        <w:t>A governance-structure waiver may remain effective only for the period specified in the waiver approval and may be conditioned, modified, renewed, limited, or revoked by the Commissioner. The provider shall promptly notify the Department of any material change affecting the basis for the waiver, including appointment of an independent member or changes in the provider's governance structure or approved attendance arrangement.</w:t>
      </w:r>
    </w:p>
    <w:p w14:paraId="3A64DDA0" w14:textId="6794C016" w:rsidR="00BA24E5" w:rsidRDefault="00BA24E5" w:rsidP="00BA24E5">
      <w:pPr>
        <w:pStyle w:val="NormalWeb"/>
        <w:spacing w:before="0" w:beforeAutospacing="0" w:after="120" w:afterAutospacing="0" w:line="276" w:lineRule="auto"/>
      </w:pPr>
      <w:r w:rsidRPr="00BA24E5">
        <w:t>Approval of any waiver is discretionary, must be granted in writing by the Commissioner, and may be subject to conditions determined appropriate by the Commissioner.</w:t>
      </w:r>
    </w:p>
    <w:p w14:paraId="096E95AF" w14:textId="48F9744C" w:rsidR="00462720" w:rsidRPr="00874AAD" w:rsidRDefault="00880E7E" w:rsidP="00EC2882">
      <w:pPr>
        <w:pStyle w:val="Heading3"/>
      </w:pPr>
      <w:r>
        <w:lastRenderedPageBreak/>
        <w:t>Departmental Application of the Waiver</w:t>
      </w:r>
    </w:p>
    <w:p w14:paraId="3DED84FF" w14:textId="39E2E29A" w:rsidR="00A1077B" w:rsidRDefault="00257449" w:rsidP="00257449">
      <w:pPr>
        <w:pStyle w:val="ListBullet"/>
        <w:spacing w:after="120"/>
        <w:contextualSpacing w:val="0"/>
        <w:rPr>
          <w:rFonts w:cs="Times New Roman"/>
        </w:rPr>
      </w:pPr>
      <w:r w:rsidRPr="00257449">
        <w:rPr>
          <w:rFonts w:cs="Times New Roman"/>
        </w:rPr>
        <w:t xml:space="preserve">If the Commissioner grants a waiver under § 58-64A-360(b), the Department may </w:t>
      </w:r>
      <w:r w:rsidR="00A1077B">
        <w:rPr>
          <w:rFonts w:cs="Times New Roman"/>
        </w:rPr>
        <w:t>impose</w:t>
      </w:r>
      <w:r w:rsidRPr="00257449">
        <w:rPr>
          <w:rFonts w:cs="Times New Roman"/>
        </w:rPr>
        <w:t xml:space="preserve"> conditions necessary to preserve the purposes of the statute</w:t>
      </w:r>
      <w:r w:rsidR="00A1077B">
        <w:rPr>
          <w:rFonts w:cs="Times New Roman"/>
        </w:rPr>
        <w:t>, including transparency, accountability, and meaningful engagement between residents and provider leadership</w:t>
      </w:r>
      <w:r w:rsidRPr="00257449">
        <w:rPr>
          <w:rFonts w:cs="Times New Roman"/>
        </w:rPr>
        <w:t xml:space="preserve">. </w:t>
      </w:r>
    </w:p>
    <w:p w14:paraId="5249FE7C" w14:textId="51297154" w:rsidR="00257449" w:rsidRPr="00257449" w:rsidRDefault="00257449" w:rsidP="00D6145F">
      <w:pPr>
        <w:pStyle w:val="ListBullet"/>
        <w:keepNext/>
        <w:spacing w:after="120"/>
        <w:contextualSpacing w:val="0"/>
        <w:rPr>
          <w:rFonts w:cs="Times New Roman"/>
        </w:rPr>
      </w:pPr>
      <w:r w:rsidRPr="00257449">
        <w:rPr>
          <w:rFonts w:cs="Times New Roman"/>
        </w:rPr>
        <w:t>Such conditions may include:</w:t>
      </w:r>
    </w:p>
    <w:p w14:paraId="4F1FDAEB" w14:textId="0C6262D2" w:rsidR="00A1077B" w:rsidRDefault="00A1077B" w:rsidP="00BA24E5">
      <w:pPr>
        <w:pStyle w:val="ListBullet"/>
        <w:keepNext/>
        <w:numPr>
          <w:ilvl w:val="0"/>
          <w:numId w:val="8"/>
        </w:numPr>
        <w:spacing w:after="120"/>
        <w:ind w:left="360"/>
        <w:contextualSpacing w:val="0"/>
        <w:rPr>
          <w:rFonts w:cs="Times New Roman"/>
          <w:b/>
          <w:bCs/>
        </w:rPr>
      </w:pPr>
      <w:r>
        <w:rPr>
          <w:rFonts w:cs="Times New Roman"/>
          <w:b/>
          <w:bCs/>
        </w:rPr>
        <w:t>Attendance Requirement</w:t>
      </w:r>
    </w:p>
    <w:p w14:paraId="304615DF" w14:textId="15727840" w:rsidR="00A1077B" w:rsidRPr="00A1077B" w:rsidRDefault="00A1077B" w:rsidP="00BA24E5">
      <w:pPr>
        <w:pStyle w:val="ListBullet"/>
        <w:keepNext/>
        <w:spacing w:after="120"/>
        <w:ind w:left="360"/>
        <w:contextualSpacing w:val="0"/>
        <w:rPr>
          <w:rFonts w:cs="Times New Roman"/>
        </w:rPr>
      </w:pPr>
      <w:r w:rsidRPr="00A1077B">
        <w:rPr>
          <w:rFonts w:cs="Times New Roman"/>
        </w:rPr>
        <w:t>The provider shall ensure attendance in person at each semiannual meeting by the individual identified in the waiver approval or any replacement individual approved by the Department.</w:t>
      </w:r>
    </w:p>
    <w:p w14:paraId="5FB16CF2" w14:textId="5C6CA5C2" w:rsidR="00257449" w:rsidRPr="00257449" w:rsidRDefault="00257449" w:rsidP="00BA24E5">
      <w:pPr>
        <w:pStyle w:val="ListBullet"/>
        <w:keepNext/>
        <w:numPr>
          <w:ilvl w:val="0"/>
          <w:numId w:val="8"/>
        </w:numPr>
        <w:spacing w:after="120"/>
        <w:ind w:left="360"/>
        <w:contextualSpacing w:val="0"/>
        <w:rPr>
          <w:rFonts w:cs="Times New Roman"/>
          <w:b/>
          <w:bCs/>
        </w:rPr>
      </w:pPr>
      <w:r w:rsidRPr="00257449">
        <w:rPr>
          <w:rFonts w:cs="Times New Roman"/>
          <w:b/>
          <w:bCs/>
        </w:rPr>
        <w:t>Designated Representative</w:t>
      </w:r>
    </w:p>
    <w:p w14:paraId="40FD37AF" w14:textId="65E1F752" w:rsidR="00364AC6" w:rsidRDefault="00A1077B" w:rsidP="00BA24E5">
      <w:pPr>
        <w:pStyle w:val="ListBullet"/>
        <w:spacing w:after="120"/>
        <w:ind w:left="360"/>
        <w:contextualSpacing w:val="0"/>
        <w:rPr>
          <w:rFonts w:cs="Times New Roman"/>
        </w:rPr>
      </w:pPr>
      <w:r w:rsidRPr="00A1077B">
        <w:rPr>
          <w:rFonts w:cs="Times New Roman"/>
        </w:rPr>
        <w:t xml:space="preserve">Where the provider’s governance structure does not include a natural-person </w:t>
      </w:r>
      <w:r w:rsidR="00225F2A">
        <w:rPr>
          <w:rFonts w:cs="Times New Roman"/>
        </w:rPr>
        <w:t xml:space="preserve">independent member </w:t>
      </w:r>
      <w:r w:rsidRPr="00A1077B">
        <w:rPr>
          <w:rFonts w:cs="Times New Roman"/>
        </w:rPr>
        <w:t>capable of satisfying § 58-64A-360(b), the Department may require attendance by a</w:t>
      </w:r>
      <w:r w:rsidR="00725402" w:rsidRPr="00725402">
        <w:rPr>
          <w:rFonts w:cs="Times New Roman"/>
        </w:rPr>
        <w:t xml:space="preserve"> representative of the provider, controlling entity, or ultimate governing authority acceptable to the Department</w:t>
      </w:r>
      <w:r w:rsidRPr="00A1077B">
        <w:rPr>
          <w:rFonts w:cs="Times New Roman"/>
        </w:rPr>
        <w:t>.</w:t>
      </w:r>
      <w:r w:rsidR="00364AC6">
        <w:rPr>
          <w:rFonts w:cs="Times New Roman"/>
        </w:rPr>
        <w:t xml:space="preserve"> </w:t>
      </w:r>
    </w:p>
    <w:p w14:paraId="7562F43C" w14:textId="77777777" w:rsidR="00BA24E5" w:rsidRDefault="00BA24E5" w:rsidP="00BA24E5">
      <w:pPr>
        <w:pStyle w:val="ListBullet"/>
        <w:keepNext/>
        <w:spacing w:after="120"/>
        <w:ind w:left="360"/>
        <w:contextualSpacing w:val="0"/>
        <w:rPr>
          <w:rFonts w:cs="Times New Roman"/>
        </w:rPr>
      </w:pPr>
      <w:r w:rsidRPr="00BA24E5">
        <w:rPr>
          <w:rFonts w:cs="Times New Roman"/>
        </w:rPr>
        <w:t>The designated representative shall possess sufficient knowledge of the provider's governance structure, decision-making processes, operations, and resident concerns to meaningfully participate in the meeting. The representative shall answer questions within the scope of the representative's knowledge and authority, facilitate communication between residents and provider leadership, and ensure that material resident concerns and questions requiring governance-level consideration are communicated to the board of directors or other governing body exercising governance authority over the provider. Nothing in this policy requires the representative to speak on behalf of the governing body, predict governing-body action, or personally answer matters outside the representative's knowledge or authority.</w:t>
      </w:r>
    </w:p>
    <w:p w14:paraId="65B367E8" w14:textId="23817E4D" w:rsidR="00BA24E5" w:rsidRDefault="00716C1B" w:rsidP="00BA24E5">
      <w:pPr>
        <w:pStyle w:val="ListBullet"/>
        <w:keepNext/>
        <w:spacing w:after="120"/>
        <w:ind w:left="360"/>
        <w:contextualSpacing w:val="0"/>
        <w:rPr>
          <w:rFonts w:cs="Times New Roman"/>
        </w:rPr>
      </w:pPr>
      <w:r w:rsidRPr="00716C1B">
        <w:rPr>
          <w:rFonts w:cs="Times New Roman"/>
        </w:rPr>
        <w:t>Depending upon the provider's organizational structure, a designated representative may include a regional executive, officer, representative of a controlling entity or ultimate governing authority, or another individual whom the Department determines is sufficiently knowledgeable about the provider and positioned to communicate resident concerns to individuals exercising governance authority.</w:t>
      </w:r>
    </w:p>
    <w:p w14:paraId="21644D07" w14:textId="26392148" w:rsidR="00257449" w:rsidRPr="00257449" w:rsidRDefault="00257449" w:rsidP="00BA24E5">
      <w:pPr>
        <w:pStyle w:val="ListBullet"/>
        <w:keepNext/>
        <w:numPr>
          <w:ilvl w:val="0"/>
          <w:numId w:val="8"/>
        </w:numPr>
        <w:spacing w:after="120"/>
        <w:ind w:left="360"/>
        <w:contextualSpacing w:val="0"/>
        <w:rPr>
          <w:rFonts w:cs="Times New Roman"/>
          <w:b/>
          <w:bCs/>
        </w:rPr>
      </w:pPr>
      <w:r w:rsidRPr="00257449">
        <w:rPr>
          <w:rFonts w:cs="Times New Roman"/>
          <w:b/>
          <w:bCs/>
        </w:rPr>
        <w:t>Disclosure</w:t>
      </w:r>
      <w:r w:rsidR="00BA24E5">
        <w:rPr>
          <w:rFonts w:cs="Times New Roman"/>
          <w:b/>
          <w:bCs/>
        </w:rPr>
        <w:t xml:space="preserve"> and Notice</w:t>
      </w:r>
    </w:p>
    <w:p w14:paraId="34955EEA" w14:textId="003882B0" w:rsidR="00257449" w:rsidRDefault="00257449" w:rsidP="00BA24E5">
      <w:pPr>
        <w:pStyle w:val="ListBullet"/>
        <w:spacing w:after="120"/>
        <w:ind w:left="360"/>
        <w:contextualSpacing w:val="0"/>
        <w:rPr>
          <w:rFonts w:cs="Times New Roman"/>
        </w:rPr>
      </w:pPr>
      <w:r w:rsidRPr="00257449">
        <w:rPr>
          <w:rFonts w:cs="Times New Roman"/>
        </w:rPr>
        <w:t xml:space="preserve">The provider shall disclose the waiver and </w:t>
      </w:r>
      <w:r w:rsidR="00D6145F">
        <w:rPr>
          <w:rFonts w:cs="Times New Roman"/>
        </w:rPr>
        <w:t>any attendance</w:t>
      </w:r>
      <w:r w:rsidRPr="00257449">
        <w:rPr>
          <w:rFonts w:cs="Times New Roman"/>
        </w:rPr>
        <w:t xml:space="preserve"> arrangement </w:t>
      </w:r>
      <w:r w:rsidR="00D6145F">
        <w:rPr>
          <w:rFonts w:cs="Times New Roman"/>
        </w:rPr>
        <w:t xml:space="preserve">approved by the Department </w:t>
      </w:r>
      <w:r w:rsidRPr="00257449">
        <w:rPr>
          <w:rFonts w:cs="Times New Roman"/>
        </w:rPr>
        <w:t>in Section 18 of the Disclosure Statement under G.S. 58-64A-150(a)(22).</w:t>
      </w:r>
    </w:p>
    <w:p w14:paraId="3B04FBED" w14:textId="3EF22970" w:rsidR="00BA24E5" w:rsidRPr="00257449" w:rsidRDefault="00BA24E5" w:rsidP="00BA24E5">
      <w:pPr>
        <w:pStyle w:val="ListBullet"/>
        <w:spacing w:after="120"/>
        <w:ind w:left="360"/>
        <w:contextualSpacing w:val="0"/>
        <w:rPr>
          <w:rFonts w:cs="Times New Roman"/>
        </w:rPr>
      </w:pPr>
      <w:r w:rsidRPr="00BA24E5">
        <w:rPr>
          <w:rFonts w:cs="Times New Roman"/>
        </w:rPr>
        <w:t xml:space="preserve">Unless otherwise provided in the waiver approval, the provider shall also notify residents of the waiver and identify the individual who will attend pursuant to the approved alternative attendance arrangement in the notice of the applicable semiannual resident meeting. The notice </w:t>
      </w:r>
      <w:r w:rsidR="00716C1B">
        <w:rPr>
          <w:rFonts w:cs="Times New Roman"/>
        </w:rPr>
        <w:t>shall</w:t>
      </w:r>
      <w:r w:rsidRPr="00BA24E5">
        <w:rPr>
          <w:rFonts w:cs="Times New Roman"/>
        </w:rPr>
        <w:t xml:space="preserve"> identify the individual's position or relationship to the provider sufficiently to inform residents of the capacity in which the individual will participate.</w:t>
      </w:r>
    </w:p>
    <w:p w14:paraId="4AAA9EBE" w14:textId="00AA9C64" w:rsidR="00257449" w:rsidRPr="00257449" w:rsidRDefault="00257449" w:rsidP="00BA24E5">
      <w:pPr>
        <w:pStyle w:val="ListBullet"/>
        <w:keepNext/>
        <w:numPr>
          <w:ilvl w:val="0"/>
          <w:numId w:val="7"/>
        </w:numPr>
        <w:spacing w:after="120"/>
        <w:ind w:left="360"/>
        <w:contextualSpacing w:val="0"/>
        <w:rPr>
          <w:rFonts w:cs="Times New Roman"/>
          <w:b/>
          <w:bCs/>
        </w:rPr>
      </w:pPr>
      <w:r w:rsidRPr="00257449">
        <w:rPr>
          <w:rFonts w:cs="Times New Roman"/>
          <w:b/>
          <w:bCs/>
        </w:rPr>
        <w:lastRenderedPageBreak/>
        <w:t>Documentation</w:t>
      </w:r>
      <w:r w:rsidR="0028590C">
        <w:rPr>
          <w:rFonts w:cs="Times New Roman"/>
          <w:b/>
          <w:bCs/>
        </w:rPr>
        <w:t xml:space="preserve"> and Communication of Resident Concerns</w:t>
      </w:r>
    </w:p>
    <w:p w14:paraId="021F6961" w14:textId="243712B0" w:rsidR="005922F4" w:rsidRDefault="00257449" w:rsidP="00BA24E5">
      <w:pPr>
        <w:pStyle w:val="ListBullet"/>
        <w:spacing w:after="120"/>
        <w:ind w:left="360"/>
        <w:contextualSpacing w:val="0"/>
        <w:rPr>
          <w:rFonts w:cs="Times New Roman"/>
        </w:rPr>
      </w:pPr>
      <w:r w:rsidRPr="00257449">
        <w:rPr>
          <w:rFonts w:cs="Times New Roman"/>
        </w:rPr>
        <w:t xml:space="preserve">The provider </w:t>
      </w:r>
      <w:proofErr w:type="gramStart"/>
      <w:r w:rsidRPr="00257449">
        <w:rPr>
          <w:rFonts w:cs="Times New Roman"/>
        </w:rPr>
        <w:t>shall</w:t>
      </w:r>
      <w:proofErr w:type="gramEnd"/>
      <w:r w:rsidRPr="00257449">
        <w:rPr>
          <w:rFonts w:cs="Times New Roman"/>
        </w:rPr>
        <w:t xml:space="preserve"> maintain documentation </w:t>
      </w:r>
      <w:r w:rsidR="0028590C">
        <w:rPr>
          <w:rFonts w:cs="Times New Roman"/>
        </w:rPr>
        <w:t>sufficient to demonstrate</w:t>
      </w:r>
      <w:r w:rsidRPr="00257449">
        <w:rPr>
          <w:rFonts w:cs="Times New Roman"/>
        </w:rPr>
        <w:t xml:space="preserve"> </w:t>
      </w:r>
      <w:r w:rsidR="00A1077B">
        <w:rPr>
          <w:rFonts w:cs="Times New Roman"/>
        </w:rPr>
        <w:t xml:space="preserve">attendance at the semiannual meetings and </w:t>
      </w:r>
      <w:r w:rsidRPr="00257449">
        <w:rPr>
          <w:rFonts w:cs="Times New Roman"/>
        </w:rPr>
        <w:t xml:space="preserve">that </w:t>
      </w:r>
      <w:r w:rsidR="00107659">
        <w:rPr>
          <w:rFonts w:cs="Times New Roman"/>
        </w:rPr>
        <w:t xml:space="preserve">substantive </w:t>
      </w:r>
      <w:r w:rsidRPr="00257449">
        <w:rPr>
          <w:rFonts w:cs="Times New Roman"/>
        </w:rPr>
        <w:t xml:space="preserve">resident concerns raised during each </w:t>
      </w:r>
      <w:r w:rsidR="00107659">
        <w:rPr>
          <w:rFonts w:cs="Times New Roman"/>
        </w:rPr>
        <w:t xml:space="preserve">semiannual </w:t>
      </w:r>
      <w:r w:rsidRPr="00257449">
        <w:rPr>
          <w:rFonts w:cs="Times New Roman"/>
        </w:rPr>
        <w:t xml:space="preserve">meeting were communicated to the </w:t>
      </w:r>
      <w:r w:rsidR="00A1077B">
        <w:rPr>
          <w:rFonts w:cs="Times New Roman"/>
        </w:rPr>
        <w:t>board of directors</w:t>
      </w:r>
      <w:r w:rsidR="00225F2A">
        <w:rPr>
          <w:rFonts w:cs="Times New Roman"/>
        </w:rPr>
        <w:t xml:space="preserve">, </w:t>
      </w:r>
      <w:r w:rsidRPr="00257449">
        <w:rPr>
          <w:rFonts w:cs="Times New Roman"/>
        </w:rPr>
        <w:t>governing body</w:t>
      </w:r>
      <w:r w:rsidR="00225F2A">
        <w:rPr>
          <w:rFonts w:cs="Times New Roman"/>
        </w:rPr>
        <w:t>, controlling entity, or ultimate governing authority, as applicable</w:t>
      </w:r>
      <w:r w:rsidRPr="00257449">
        <w:rPr>
          <w:rFonts w:cs="Times New Roman"/>
        </w:rPr>
        <w:t>.</w:t>
      </w:r>
      <w:r w:rsidR="00107659">
        <w:rPr>
          <w:rFonts w:cs="Times New Roman"/>
        </w:rPr>
        <w:t xml:space="preserve"> The provider shall maintain a process reasonably designed to facilitate such communication. </w:t>
      </w:r>
    </w:p>
    <w:p w14:paraId="599B0508" w14:textId="129A3B5E" w:rsidR="0028590C" w:rsidRPr="00257449" w:rsidRDefault="000E4D28" w:rsidP="00BA24E5">
      <w:pPr>
        <w:pStyle w:val="ListBullet"/>
        <w:spacing w:after="120"/>
        <w:ind w:left="360"/>
        <w:contextualSpacing w:val="0"/>
        <w:rPr>
          <w:rFonts w:cs="Times New Roman"/>
        </w:rPr>
      </w:pPr>
      <w:r w:rsidRPr="000E4D28">
        <w:rPr>
          <w:rFonts w:cs="Times New Roman"/>
        </w:rPr>
        <w:t>Documentation shall be retained in accordance with the provider’s record retention policies and made available to the Department upon request.</w:t>
      </w:r>
    </w:p>
    <w:p w14:paraId="151B7480" w14:textId="23131D72" w:rsidR="00462720" w:rsidRPr="00874AAD" w:rsidRDefault="00880E7E" w:rsidP="00EC2882">
      <w:pPr>
        <w:pStyle w:val="Heading3"/>
      </w:pPr>
      <w:r>
        <w:t>Rationale</w:t>
      </w:r>
      <w:r w:rsidR="008C3426" w:rsidRPr="00874AAD">
        <w:tab/>
      </w:r>
    </w:p>
    <w:p w14:paraId="4961F662" w14:textId="77777777" w:rsidR="00257449" w:rsidRPr="00257449" w:rsidRDefault="00257449" w:rsidP="00257449">
      <w:pPr>
        <w:spacing w:after="120"/>
        <w:rPr>
          <w:rFonts w:cs="Times New Roman"/>
        </w:rPr>
      </w:pPr>
      <w:r w:rsidRPr="00257449">
        <w:rPr>
          <w:rFonts w:cs="Times New Roman"/>
        </w:rPr>
        <w:t>Section 58-64A-360(b) requires that at least one independent member of the board of directors or other governing body attend semiannual resident meetings in person. This requirement promotes independent oversight, transparency, and meaningful engagement between residents and provider leadership.</w:t>
      </w:r>
    </w:p>
    <w:p w14:paraId="59510839" w14:textId="0DB7302A" w:rsidR="00462720" w:rsidRPr="00874AAD" w:rsidRDefault="00257449" w:rsidP="00257449">
      <w:pPr>
        <w:spacing w:after="120"/>
        <w:rPr>
          <w:rFonts w:cs="Times New Roman"/>
        </w:rPr>
      </w:pPr>
      <w:r w:rsidRPr="00257449">
        <w:rPr>
          <w:rFonts w:cs="Times New Roman"/>
        </w:rPr>
        <w:t xml:space="preserve">The statute also authorizes the Commissioner to grant a waiver based on unique circumstances. This policy recognizes that </w:t>
      </w:r>
      <w:r w:rsidR="00225F2A">
        <w:rPr>
          <w:rFonts w:cs="Times New Roman"/>
        </w:rPr>
        <w:t xml:space="preserve">providers may utilize a variety of legal and </w:t>
      </w:r>
      <w:r w:rsidRPr="00257449">
        <w:rPr>
          <w:rFonts w:cs="Times New Roman"/>
        </w:rPr>
        <w:t>governance structures</w:t>
      </w:r>
      <w:r w:rsidR="00225F2A">
        <w:rPr>
          <w:rFonts w:cs="Times New Roman"/>
        </w:rPr>
        <w:t xml:space="preserve">, </w:t>
      </w:r>
      <w:r w:rsidR="00225F2A" w:rsidRPr="00225F2A">
        <w:rPr>
          <w:rFonts w:cs="Times New Roman"/>
        </w:rPr>
        <w:t>including corporations, nonprofit entities, limited liability companies, and multilayered affiliated organizational structures.</w:t>
      </w:r>
      <w:r w:rsidRPr="00257449">
        <w:rPr>
          <w:rFonts w:cs="Times New Roman"/>
        </w:rPr>
        <w:t xml:space="preserve"> </w:t>
      </w:r>
      <w:r w:rsidR="00225F2A" w:rsidRPr="00225F2A">
        <w:rPr>
          <w:rFonts w:cs="Times New Roman"/>
        </w:rPr>
        <w:t>Regardless of legal form, the purpose of § 58-64A-360(b) is to promote meaningful engagement between residents and individuals exercising governance, oversight, or controlling authority over the provider</w:t>
      </w:r>
      <w:r w:rsidR="00225F2A">
        <w:rPr>
          <w:rFonts w:cs="Times New Roman"/>
        </w:rPr>
        <w:t>. In</w:t>
      </w:r>
      <w:r w:rsidRPr="00257449">
        <w:rPr>
          <w:rFonts w:cs="Times New Roman"/>
        </w:rPr>
        <w:t xml:space="preserve"> limited circumstances, </w:t>
      </w:r>
      <w:r w:rsidR="00716C1B" w:rsidRPr="00716C1B">
        <w:rPr>
          <w:rFonts w:cs="Times New Roman"/>
        </w:rPr>
        <w:t>compliance with the independent-member attendance requirement may not be possible because of temporary circumstances or the provider's governance structure.</w:t>
      </w:r>
      <w:r w:rsidR="00725402">
        <w:rPr>
          <w:rFonts w:cs="Times New Roman"/>
        </w:rPr>
        <w:t xml:space="preserve"> </w:t>
      </w:r>
      <w:r w:rsidR="00725402" w:rsidRPr="00725402">
        <w:rPr>
          <w:rFonts w:cs="Times New Roman"/>
        </w:rPr>
        <w:t>When a waiver is granted, the Department may impose attendance arrangements or other conditions necessary to preserve transparency, accountability, meaningful resident engagement, and effective communication of resident concerns to individuals exercising governance authority over the provide</w:t>
      </w:r>
      <w:r w:rsidR="00725402">
        <w:rPr>
          <w:rFonts w:cs="Times New Roman"/>
        </w:rPr>
        <w:t>r.</w:t>
      </w:r>
    </w:p>
    <w:p w14:paraId="696D0F90" w14:textId="69A944B4" w:rsidR="00462720" w:rsidRPr="00874AAD" w:rsidRDefault="008C3426" w:rsidP="00EC2882">
      <w:pPr>
        <w:pStyle w:val="Heading3"/>
      </w:pPr>
      <w:r w:rsidRPr="00874AAD">
        <w:t>Department Review and Oversight</w:t>
      </w:r>
    </w:p>
    <w:p w14:paraId="4594A537" w14:textId="77777777" w:rsidR="00257449" w:rsidRPr="00257449" w:rsidRDefault="00257449" w:rsidP="00257449">
      <w:pPr>
        <w:pStyle w:val="ListBullet"/>
        <w:spacing w:after="120"/>
        <w:contextualSpacing w:val="0"/>
        <w:rPr>
          <w:rFonts w:cs="Times New Roman"/>
        </w:rPr>
      </w:pPr>
      <w:r w:rsidRPr="00257449">
        <w:rPr>
          <w:rFonts w:cs="Times New Roman"/>
        </w:rPr>
        <w:t>In reviewing a waiver request under § 58-64A-360(b), the Department shall:</w:t>
      </w:r>
    </w:p>
    <w:p w14:paraId="10FBC21F" w14:textId="77777777" w:rsidR="00716C1B" w:rsidRDefault="00716C1B" w:rsidP="00716C1B">
      <w:pPr>
        <w:pStyle w:val="ListBullet"/>
        <w:numPr>
          <w:ilvl w:val="0"/>
          <w:numId w:val="7"/>
        </w:numPr>
        <w:spacing w:after="120"/>
        <w:contextualSpacing w:val="0"/>
        <w:rPr>
          <w:rFonts w:cs="Times New Roman"/>
        </w:rPr>
      </w:pPr>
      <w:r w:rsidRPr="00716C1B">
        <w:rPr>
          <w:rFonts w:cs="Times New Roman"/>
        </w:rPr>
        <w:t>Determine whether the board of directors or other governing body exercising governance authority over the provider includes an independent member;</w:t>
      </w:r>
    </w:p>
    <w:p w14:paraId="1FF80149" w14:textId="77777777" w:rsidR="00716C1B" w:rsidRDefault="00716C1B" w:rsidP="00716C1B">
      <w:pPr>
        <w:pStyle w:val="ListBullet"/>
        <w:numPr>
          <w:ilvl w:val="0"/>
          <w:numId w:val="7"/>
        </w:numPr>
        <w:spacing w:after="120"/>
        <w:contextualSpacing w:val="0"/>
        <w:rPr>
          <w:rFonts w:cs="Times New Roman"/>
        </w:rPr>
      </w:pPr>
      <w:r w:rsidRPr="00716C1B">
        <w:rPr>
          <w:rFonts w:cs="Times New Roman"/>
        </w:rPr>
        <w:t>Determine whether the request is appropriately considered as a temporary waiver or governance-structure waiver under Section 3;</w:t>
      </w:r>
    </w:p>
    <w:p w14:paraId="020870ED" w14:textId="77777777" w:rsidR="00716C1B" w:rsidRDefault="00716C1B" w:rsidP="00716C1B">
      <w:pPr>
        <w:pStyle w:val="ListBullet"/>
        <w:numPr>
          <w:ilvl w:val="0"/>
          <w:numId w:val="7"/>
        </w:numPr>
        <w:spacing w:after="120"/>
        <w:contextualSpacing w:val="0"/>
        <w:rPr>
          <w:rFonts w:cs="Times New Roman"/>
        </w:rPr>
      </w:pPr>
      <w:r w:rsidRPr="00716C1B">
        <w:rPr>
          <w:rFonts w:cs="Times New Roman"/>
        </w:rPr>
        <w:t>Document the provider's asserted unique circumstances;</w:t>
      </w:r>
    </w:p>
    <w:p w14:paraId="4D5442D0" w14:textId="77777777" w:rsidR="00716C1B" w:rsidRDefault="00716C1B" w:rsidP="00716C1B">
      <w:pPr>
        <w:pStyle w:val="ListBullet"/>
        <w:numPr>
          <w:ilvl w:val="0"/>
          <w:numId w:val="7"/>
        </w:numPr>
        <w:spacing w:after="120"/>
        <w:contextualSpacing w:val="0"/>
        <w:rPr>
          <w:rFonts w:cs="Times New Roman"/>
        </w:rPr>
      </w:pPr>
      <w:r w:rsidRPr="00716C1B">
        <w:rPr>
          <w:rFonts w:cs="Times New Roman"/>
        </w:rPr>
        <w:t>Evaluate whether the proposed arrangement preserves transparency, accountability, meaningful participation, and resident engagement consistent with the statute;</w:t>
      </w:r>
    </w:p>
    <w:p w14:paraId="03500E71" w14:textId="77777777" w:rsidR="00716C1B" w:rsidRDefault="00716C1B" w:rsidP="00716C1B">
      <w:pPr>
        <w:pStyle w:val="ListBullet"/>
        <w:numPr>
          <w:ilvl w:val="0"/>
          <w:numId w:val="7"/>
        </w:numPr>
        <w:spacing w:after="120"/>
        <w:contextualSpacing w:val="0"/>
        <w:rPr>
          <w:rFonts w:cs="Times New Roman"/>
        </w:rPr>
      </w:pPr>
      <w:r w:rsidRPr="00716C1B">
        <w:rPr>
          <w:rFonts w:cs="Times New Roman"/>
        </w:rPr>
        <w:t>Review any proposed attendance arrangements or conditions accompanying the request;</w:t>
      </w:r>
    </w:p>
    <w:p w14:paraId="6108D3ED" w14:textId="77777777" w:rsidR="00716C1B" w:rsidRDefault="00716C1B" w:rsidP="00716C1B">
      <w:pPr>
        <w:pStyle w:val="ListBullet"/>
        <w:numPr>
          <w:ilvl w:val="0"/>
          <w:numId w:val="7"/>
        </w:numPr>
        <w:spacing w:after="120"/>
        <w:contextualSpacing w:val="0"/>
        <w:rPr>
          <w:rFonts w:cs="Times New Roman"/>
        </w:rPr>
      </w:pPr>
      <w:r w:rsidRPr="00716C1B">
        <w:rPr>
          <w:rFonts w:cs="Times New Roman"/>
        </w:rPr>
        <w:lastRenderedPageBreak/>
        <w:t>Review the qualifications and appropriateness of any designated representative, as applicable; and</w:t>
      </w:r>
    </w:p>
    <w:p w14:paraId="2380A31B" w14:textId="5D6676B1" w:rsidR="00257449" w:rsidRPr="00257449" w:rsidRDefault="00716C1B" w:rsidP="00716C1B">
      <w:pPr>
        <w:pStyle w:val="ListBullet"/>
        <w:numPr>
          <w:ilvl w:val="0"/>
          <w:numId w:val="7"/>
        </w:numPr>
        <w:spacing w:after="120"/>
        <w:contextualSpacing w:val="0"/>
        <w:rPr>
          <w:rFonts w:cs="Times New Roman"/>
        </w:rPr>
      </w:pPr>
      <w:r w:rsidRPr="00716C1B">
        <w:rPr>
          <w:rFonts w:cs="Times New Roman"/>
        </w:rPr>
        <w:t>Ensure appropriate disclosure and notice of the waiver as required by Section 4.</w:t>
      </w:r>
    </w:p>
    <w:p w14:paraId="0144149C" w14:textId="25F6D967" w:rsidR="00462720" w:rsidRPr="00874AAD" w:rsidRDefault="00257449" w:rsidP="00257449">
      <w:pPr>
        <w:pStyle w:val="ListBullet"/>
        <w:spacing w:after="120"/>
        <w:rPr>
          <w:rFonts w:cs="Times New Roman"/>
        </w:rPr>
      </w:pPr>
      <w:r w:rsidRPr="00257449">
        <w:rPr>
          <w:rFonts w:cs="Times New Roman"/>
        </w:rPr>
        <w:t>If a waiver is granted, the Department may review compliance with any imposed conditions during examinations or targeted reviews.</w:t>
      </w:r>
      <w:r w:rsidR="00880E7E">
        <w:rPr>
          <w:rFonts w:cs="Times New Roman"/>
        </w:rPr>
        <w:t xml:space="preserve"> </w:t>
      </w:r>
    </w:p>
    <w:p w14:paraId="1FAD9B62" w14:textId="2E70049E" w:rsidR="008C3426" w:rsidRPr="00874AAD" w:rsidRDefault="008C3426" w:rsidP="00EC2882">
      <w:pPr>
        <w:pStyle w:val="Heading3"/>
      </w:pPr>
      <w:r w:rsidRPr="00874AAD">
        <w:t>Implementation</w:t>
      </w:r>
    </w:p>
    <w:p w14:paraId="749A40C0" w14:textId="245FEE09" w:rsidR="008C3426" w:rsidRDefault="000D2006" w:rsidP="00214F5F">
      <w:pPr>
        <w:spacing w:after="120"/>
        <w:rPr>
          <w:rFonts w:cs="Times New Roman"/>
        </w:rPr>
      </w:pPr>
      <w:r w:rsidRPr="000D2006">
        <w:rPr>
          <w:rFonts w:cs="Times New Roman"/>
        </w:rPr>
        <w:t xml:space="preserve">This policy shall apply to all waiver requests under § 58-64A-360(b) submitted on or after </w:t>
      </w:r>
      <w:r w:rsidR="00BA24E5">
        <w:rPr>
          <w:rFonts w:cs="Times New Roman"/>
        </w:rPr>
        <w:t>________________________</w:t>
      </w:r>
      <w:r w:rsidRPr="000D2006">
        <w:rPr>
          <w:rFonts w:cs="Times New Roman"/>
        </w:rPr>
        <w:t>.</w:t>
      </w:r>
    </w:p>
    <w:p w14:paraId="129B99A0" w14:textId="7E8D0461" w:rsidR="00FA4C22" w:rsidRPr="00874AAD" w:rsidRDefault="00FA4C22" w:rsidP="00214F5F">
      <w:pPr>
        <w:spacing w:after="120"/>
        <w:rPr>
          <w:rFonts w:cs="Times New Roman"/>
        </w:rPr>
      </w:pPr>
      <w:r w:rsidRPr="00FA4C22">
        <w:rPr>
          <w:rFonts w:cs="Times New Roman"/>
        </w:rPr>
        <w:t xml:space="preserve">Nothing in this policy limits the Commissioner’s authority under </w:t>
      </w:r>
      <w:r>
        <w:rPr>
          <w:rFonts w:cs="Times New Roman"/>
        </w:rPr>
        <w:t>Article 64A</w:t>
      </w:r>
      <w:r w:rsidRPr="00FA4C22">
        <w:rPr>
          <w:rFonts w:cs="Times New Roman"/>
        </w:rPr>
        <w:t xml:space="preserve"> to deny, condition, modify, or revoke a waiver in the Commissioner’s judgment.</w:t>
      </w:r>
    </w:p>
    <w:p w14:paraId="18D1CEC8" w14:textId="6808E6D4" w:rsidR="008C3426" w:rsidRPr="00874AAD" w:rsidRDefault="004130B4" w:rsidP="000E60CD">
      <w:pPr>
        <w:spacing w:after="120"/>
        <w:rPr>
          <w:rFonts w:cs="Times New Roman"/>
        </w:rPr>
      </w:pPr>
      <w:r w:rsidRPr="004130B4">
        <w:rPr>
          <w:rFonts w:cs="Times New Roman"/>
        </w:rPr>
        <w:t>The Department will apply this policy consistently and will document determinations in the provider’s regulatory file</w:t>
      </w:r>
      <w:r w:rsidR="008C3426" w:rsidRPr="00874AAD">
        <w:rPr>
          <w:rFonts w:cs="Times New Roman"/>
        </w:rPr>
        <w:t>.</w:t>
      </w:r>
    </w:p>
    <w:sectPr w:rsidR="008C3426" w:rsidRPr="00874AAD" w:rsidSect="00214F5F">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0E15E" w14:textId="77777777" w:rsidR="006D064B" w:rsidRDefault="006D064B" w:rsidP="008C3426">
      <w:pPr>
        <w:spacing w:after="0" w:line="240" w:lineRule="auto"/>
      </w:pPr>
      <w:r>
        <w:separator/>
      </w:r>
    </w:p>
  </w:endnote>
  <w:endnote w:type="continuationSeparator" w:id="0">
    <w:p w14:paraId="1068A675" w14:textId="77777777" w:rsidR="006D064B" w:rsidRDefault="006D064B" w:rsidP="008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7023"/>
      <w:docPartObj>
        <w:docPartGallery w:val="Page Numbers (Bottom of Page)"/>
        <w:docPartUnique/>
      </w:docPartObj>
    </w:sdtPr>
    <w:sdtEndPr>
      <w:rPr>
        <w:rFonts w:cs="Times New Roman"/>
        <w:noProof/>
      </w:rPr>
    </w:sdtEndPr>
    <w:sdtContent>
      <w:p w14:paraId="34FBC05D" w14:textId="1F09EF9B" w:rsidR="008C3426" w:rsidRPr="003F3502" w:rsidRDefault="003F3502">
        <w:pPr>
          <w:pStyle w:val="Footer"/>
          <w:jc w:val="center"/>
          <w:rPr>
            <w:rFonts w:cs="Times New Roman"/>
          </w:rPr>
        </w:pPr>
        <w:r w:rsidRPr="003F3502">
          <w:t>Policy No. 64A-IP-0</w:t>
        </w:r>
        <w:r w:rsidR="00880E7E">
          <w:t>2</w:t>
        </w:r>
        <w:r w:rsidRPr="003F3502">
          <w:t xml:space="preserve"> |</w:t>
        </w:r>
        <w:r>
          <w:t xml:space="preserve"> </w:t>
        </w:r>
        <w:r>
          <w:rPr>
            <w:rFonts w:cs="Times New Roman"/>
          </w:rPr>
          <w:t xml:space="preserve">Page </w:t>
        </w:r>
        <w:r w:rsidR="008C3426" w:rsidRPr="003F3502">
          <w:rPr>
            <w:rFonts w:cs="Times New Roman"/>
          </w:rPr>
          <w:fldChar w:fldCharType="begin"/>
        </w:r>
        <w:r w:rsidR="008C3426" w:rsidRPr="003F3502">
          <w:rPr>
            <w:rFonts w:cs="Times New Roman"/>
          </w:rPr>
          <w:instrText xml:space="preserve"> PAGE   \* MERGEFORMAT </w:instrText>
        </w:r>
        <w:r w:rsidR="008C3426" w:rsidRPr="003F3502">
          <w:rPr>
            <w:rFonts w:cs="Times New Roman"/>
          </w:rPr>
          <w:fldChar w:fldCharType="separate"/>
        </w:r>
        <w:r w:rsidR="008C3426" w:rsidRPr="003F3502">
          <w:rPr>
            <w:rFonts w:cs="Times New Roman"/>
            <w:noProof/>
          </w:rPr>
          <w:t>2</w:t>
        </w:r>
        <w:r w:rsidR="008C3426" w:rsidRPr="003F3502">
          <w:rPr>
            <w:rFonts w:cs="Times New Roman"/>
            <w:noProof/>
          </w:rPr>
          <w:fldChar w:fldCharType="end"/>
        </w:r>
        <w:r>
          <w:rPr>
            <w:rFonts w:cs="Times New Roman"/>
            <w:noProof/>
          </w:rPr>
          <w:t xml:space="preserve"> of </w:t>
        </w:r>
        <w:r>
          <w:rPr>
            <w:rFonts w:cs="Times New Roman"/>
            <w:noProof/>
          </w:rPr>
          <w:fldChar w:fldCharType="begin"/>
        </w:r>
        <w:r>
          <w:rPr>
            <w:rFonts w:cs="Times New Roman"/>
            <w:noProof/>
          </w:rPr>
          <w:instrText xml:space="preserve"> NUMPAGES  \* Arabic  \* MERGEFORMAT </w:instrText>
        </w:r>
        <w:r>
          <w:rPr>
            <w:rFonts w:cs="Times New Roman"/>
            <w:noProof/>
          </w:rPr>
          <w:fldChar w:fldCharType="separate"/>
        </w:r>
        <w:r>
          <w:rPr>
            <w:rFonts w:cs="Times New Roman"/>
            <w:noProof/>
          </w:rPr>
          <w:t>4</w:t>
        </w:r>
        <w:r>
          <w:rPr>
            <w:rFonts w:cs="Times New Roman"/>
            <w:noProof/>
          </w:rPr>
          <w:fldChar w:fldCharType="end"/>
        </w:r>
      </w:p>
    </w:sdtContent>
  </w:sdt>
  <w:p w14:paraId="52801D91" w14:textId="77777777" w:rsidR="008C3426" w:rsidRDefault="008C3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4A1D5" w14:textId="77777777" w:rsidR="006D064B" w:rsidRDefault="006D064B" w:rsidP="008C3426">
      <w:pPr>
        <w:spacing w:after="0" w:line="240" w:lineRule="auto"/>
      </w:pPr>
      <w:r>
        <w:separator/>
      </w:r>
    </w:p>
  </w:footnote>
  <w:footnote w:type="continuationSeparator" w:id="0">
    <w:p w14:paraId="40A23207" w14:textId="77777777" w:rsidR="006D064B" w:rsidRDefault="006D064B" w:rsidP="008C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388B" w14:textId="129A6206" w:rsidR="00FA4C22" w:rsidRDefault="006D064B">
    <w:pPr>
      <w:pStyle w:val="Header"/>
    </w:pPr>
    <w:r>
      <w:rPr>
        <w:noProof/>
      </w:rPr>
      <w:pict w14:anchorId="0D04F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881844"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D5F2E" w14:textId="5B95245C" w:rsidR="00FA4C22" w:rsidRDefault="006D064B">
    <w:pPr>
      <w:pStyle w:val="Header"/>
    </w:pPr>
    <w:r>
      <w:rPr>
        <w:noProof/>
      </w:rPr>
      <w:pict w14:anchorId="7A48F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881845"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EFF6" w14:textId="23757D40" w:rsidR="00FA4C22" w:rsidRDefault="006D064B">
    <w:pPr>
      <w:pStyle w:val="Header"/>
    </w:pPr>
    <w:r>
      <w:rPr>
        <w:noProof/>
      </w:rPr>
      <w:pict w14:anchorId="1CAC9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881843"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029C3927"/>
    <w:multiLevelType w:val="hybridMultilevel"/>
    <w:tmpl w:val="F4867586"/>
    <w:lvl w:ilvl="0" w:tplc="FF305E2C">
      <w:start w:val="1"/>
      <w:numFmt w:val="decimal"/>
      <w:pStyle w:val="Heading2"/>
      <w:lvlText w:val="%1."/>
      <w:lvlJc w:val="left"/>
      <w:pPr>
        <w:ind w:left="720" w:hanging="360"/>
      </w:pPr>
      <w:rPr>
        <w:rFonts w:hint="default"/>
      </w:rPr>
    </w:lvl>
    <w:lvl w:ilvl="1" w:tplc="224C0C2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04162"/>
    <w:multiLevelType w:val="hybridMultilevel"/>
    <w:tmpl w:val="3C2CAE9E"/>
    <w:lvl w:ilvl="0" w:tplc="9C48DF6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E0F643B"/>
    <w:multiLevelType w:val="hybridMultilevel"/>
    <w:tmpl w:val="16E0FF3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BC2EA4"/>
    <w:multiLevelType w:val="hybridMultilevel"/>
    <w:tmpl w:val="E9C485F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1B22A4D"/>
    <w:multiLevelType w:val="hybridMultilevel"/>
    <w:tmpl w:val="03E0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F53FD"/>
    <w:multiLevelType w:val="hybridMultilevel"/>
    <w:tmpl w:val="CA8ABA0E"/>
    <w:lvl w:ilvl="0" w:tplc="9C48DF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C7F93"/>
    <w:multiLevelType w:val="hybridMultilevel"/>
    <w:tmpl w:val="0B6440C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475587E"/>
    <w:multiLevelType w:val="hybridMultilevel"/>
    <w:tmpl w:val="9366253C"/>
    <w:lvl w:ilvl="0" w:tplc="9C48DF6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8852882">
    <w:abstractNumId w:val="3"/>
  </w:num>
  <w:num w:numId="2" w16cid:durableId="364982251">
    <w:abstractNumId w:val="2"/>
  </w:num>
  <w:num w:numId="3" w16cid:durableId="611933660">
    <w:abstractNumId w:val="4"/>
  </w:num>
  <w:num w:numId="4" w16cid:durableId="919875319">
    <w:abstractNumId w:val="1"/>
  </w:num>
  <w:num w:numId="5" w16cid:durableId="895967658">
    <w:abstractNumId w:val="0"/>
  </w:num>
  <w:num w:numId="6" w16cid:durableId="1721123952">
    <w:abstractNumId w:val="5"/>
  </w:num>
  <w:num w:numId="7" w16cid:durableId="1841312364">
    <w:abstractNumId w:val="7"/>
  </w:num>
  <w:num w:numId="8" w16cid:durableId="1910578513">
    <w:abstractNumId w:val="11"/>
  </w:num>
  <w:num w:numId="9" w16cid:durableId="132677418">
    <w:abstractNumId w:val="9"/>
  </w:num>
  <w:num w:numId="10" w16cid:durableId="601305005">
    <w:abstractNumId w:val="12"/>
  </w:num>
  <w:num w:numId="11" w16cid:durableId="309750081">
    <w:abstractNumId w:val="6"/>
  </w:num>
  <w:num w:numId="12" w16cid:durableId="1715538114">
    <w:abstractNumId w:val="10"/>
  </w:num>
  <w:num w:numId="13" w16cid:durableId="201183078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FDC"/>
    <w:rsid w:val="00034616"/>
    <w:rsid w:val="00052E71"/>
    <w:rsid w:val="0006063C"/>
    <w:rsid w:val="000D2006"/>
    <w:rsid w:val="000E3C10"/>
    <w:rsid w:val="000E4D28"/>
    <w:rsid w:val="000E60CD"/>
    <w:rsid w:val="000F3E68"/>
    <w:rsid w:val="00107659"/>
    <w:rsid w:val="001136E3"/>
    <w:rsid w:val="0015074B"/>
    <w:rsid w:val="00214F5F"/>
    <w:rsid w:val="00225F2A"/>
    <w:rsid w:val="00257449"/>
    <w:rsid w:val="002613A0"/>
    <w:rsid w:val="002746D9"/>
    <w:rsid w:val="0028590C"/>
    <w:rsid w:val="0029639D"/>
    <w:rsid w:val="002B4D06"/>
    <w:rsid w:val="00314047"/>
    <w:rsid w:val="00326F90"/>
    <w:rsid w:val="00364AC6"/>
    <w:rsid w:val="003C219A"/>
    <w:rsid w:val="003F3502"/>
    <w:rsid w:val="003F3D31"/>
    <w:rsid w:val="004130B4"/>
    <w:rsid w:val="00462720"/>
    <w:rsid w:val="004E492E"/>
    <w:rsid w:val="00580E71"/>
    <w:rsid w:val="00591FB9"/>
    <w:rsid w:val="005922F4"/>
    <w:rsid w:val="005A6905"/>
    <w:rsid w:val="00610461"/>
    <w:rsid w:val="006734C6"/>
    <w:rsid w:val="006A2CD0"/>
    <w:rsid w:val="006C1DCC"/>
    <w:rsid w:val="006C5204"/>
    <w:rsid w:val="006D064B"/>
    <w:rsid w:val="006E7C87"/>
    <w:rsid w:val="00716C1B"/>
    <w:rsid w:val="00725402"/>
    <w:rsid w:val="00762CFF"/>
    <w:rsid w:val="007B3778"/>
    <w:rsid w:val="007F61F0"/>
    <w:rsid w:val="00874AAD"/>
    <w:rsid w:val="00880E7E"/>
    <w:rsid w:val="008A7012"/>
    <w:rsid w:val="008C3426"/>
    <w:rsid w:val="008F12EF"/>
    <w:rsid w:val="008F16AF"/>
    <w:rsid w:val="00931CD7"/>
    <w:rsid w:val="00944FC9"/>
    <w:rsid w:val="00A00764"/>
    <w:rsid w:val="00A1077B"/>
    <w:rsid w:val="00A818BA"/>
    <w:rsid w:val="00AA1D8D"/>
    <w:rsid w:val="00B4017C"/>
    <w:rsid w:val="00B47730"/>
    <w:rsid w:val="00B64AFE"/>
    <w:rsid w:val="00B735B6"/>
    <w:rsid w:val="00BA24E5"/>
    <w:rsid w:val="00C4389F"/>
    <w:rsid w:val="00CB0664"/>
    <w:rsid w:val="00D47347"/>
    <w:rsid w:val="00D6145F"/>
    <w:rsid w:val="00D92DB9"/>
    <w:rsid w:val="00DF2C8C"/>
    <w:rsid w:val="00E071EE"/>
    <w:rsid w:val="00E618E8"/>
    <w:rsid w:val="00EA58CC"/>
    <w:rsid w:val="00EC2882"/>
    <w:rsid w:val="00F5382C"/>
    <w:rsid w:val="00F7055C"/>
    <w:rsid w:val="00F75407"/>
    <w:rsid w:val="00FA4C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5F828F"/>
  <w14:defaultImageDpi w14:val="330"/>
  <w15:docId w15:val="{31B5D268-D503-4F6C-BC3C-A85479D4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B64AFE"/>
    <w:pPr>
      <w:spacing w:before="120" w:after="0"/>
      <w:outlineLvl w:val="0"/>
    </w:pPr>
    <w:rPr>
      <w:rFonts w:cs="Times New Roman"/>
      <w:b/>
      <w:bCs/>
    </w:rPr>
  </w:style>
  <w:style w:type="paragraph" w:styleId="Heading2">
    <w:name w:val="heading 2"/>
    <w:basedOn w:val="Normal"/>
    <w:next w:val="Normal"/>
    <w:link w:val="Heading2Char"/>
    <w:uiPriority w:val="9"/>
    <w:unhideWhenUsed/>
    <w:qFormat/>
    <w:rsid w:val="00A818BA"/>
    <w:pPr>
      <w:keepNext/>
      <w:keepLines/>
      <w:numPr>
        <w:numId w:val="6"/>
      </w:numPr>
      <w:spacing w:before="240" w:after="120"/>
      <w:ind w:left="360"/>
      <w:outlineLvl w:val="1"/>
    </w:pPr>
    <w:rPr>
      <w:rFonts w:eastAsiaTheme="majorEastAsia" w:cs="Times New Roman"/>
      <w:b/>
      <w:bCs/>
      <w:sz w:val="26"/>
      <w:szCs w:val="26"/>
    </w:rPr>
  </w:style>
  <w:style w:type="paragraph" w:styleId="Heading3">
    <w:name w:val="heading 3"/>
    <w:basedOn w:val="Heading2"/>
    <w:next w:val="Normal"/>
    <w:link w:val="Heading3Char"/>
    <w:uiPriority w:val="9"/>
    <w:unhideWhenUsed/>
    <w:qFormat/>
    <w:rsid w:val="00EC2882"/>
    <w:pPr>
      <w:outlineLvl w:val="2"/>
    </w:p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64AFE"/>
    <w:rPr>
      <w:rFonts w:ascii="Times New Roman" w:hAnsi="Times New Roman" w:cs="Times New Roman"/>
      <w:b/>
      <w:bCs/>
      <w:sz w:val="24"/>
    </w:rPr>
  </w:style>
  <w:style w:type="character" w:customStyle="1" w:styleId="Heading2Char">
    <w:name w:val="Heading 2 Char"/>
    <w:basedOn w:val="DefaultParagraphFont"/>
    <w:link w:val="Heading2"/>
    <w:uiPriority w:val="9"/>
    <w:rsid w:val="00A818BA"/>
    <w:rPr>
      <w:rFonts w:ascii="Times New Roman" w:eastAsiaTheme="majorEastAsia" w:hAnsi="Times New Roman" w:cs="Times New Roman"/>
      <w:b/>
      <w:bCs/>
      <w:sz w:val="26"/>
      <w:szCs w:val="26"/>
    </w:rPr>
  </w:style>
  <w:style w:type="character" w:customStyle="1" w:styleId="Heading3Char">
    <w:name w:val="Heading 3 Char"/>
    <w:basedOn w:val="DefaultParagraphFont"/>
    <w:link w:val="Heading3"/>
    <w:uiPriority w:val="9"/>
    <w:rsid w:val="00EC2882"/>
    <w:rPr>
      <w:rFonts w:ascii="Times New Roman" w:eastAsiaTheme="majorEastAsia" w:hAnsi="Times New Roman" w:cs="Times New Roman"/>
      <w:b/>
      <w:bCs/>
      <w:sz w:val="26"/>
      <w:szCs w:val="26"/>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1"/>
      </w:numPr>
      <w:contextualSpacing/>
    </w:pPr>
  </w:style>
  <w:style w:type="paragraph" w:styleId="ListBullet3">
    <w:name w:val="List Bullet 3"/>
    <w:basedOn w:val="Normal"/>
    <w:uiPriority w:val="99"/>
    <w:unhideWhenUsed/>
    <w:rsid w:val="00326F90"/>
    <w:pPr>
      <w:numPr>
        <w:numId w:val="2"/>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C1DCC"/>
    <w:rPr>
      <w:sz w:val="16"/>
      <w:szCs w:val="16"/>
    </w:rPr>
  </w:style>
  <w:style w:type="paragraph" w:styleId="CommentText">
    <w:name w:val="annotation text"/>
    <w:basedOn w:val="Normal"/>
    <w:link w:val="CommentTextChar"/>
    <w:uiPriority w:val="99"/>
    <w:unhideWhenUsed/>
    <w:rsid w:val="006C1DCC"/>
    <w:pPr>
      <w:spacing w:line="240" w:lineRule="auto"/>
    </w:pPr>
    <w:rPr>
      <w:sz w:val="20"/>
      <w:szCs w:val="20"/>
    </w:rPr>
  </w:style>
  <w:style w:type="character" w:customStyle="1" w:styleId="CommentTextChar">
    <w:name w:val="Comment Text Char"/>
    <w:basedOn w:val="DefaultParagraphFont"/>
    <w:link w:val="CommentText"/>
    <w:uiPriority w:val="99"/>
    <w:rsid w:val="006C1DC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C1DCC"/>
    <w:rPr>
      <w:b/>
      <w:bCs/>
    </w:rPr>
  </w:style>
  <w:style w:type="character" w:customStyle="1" w:styleId="CommentSubjectChar">
    <w:name w:val="Comment Subject Char"/>
    <w:basedOn w:val="CommentTextChar"/>
    <w:link w:val="CommentSubject"/>
    <w:uiPriority w:val="99"/>
    <w:semiHidden/>
    <w:rsid w:val="006C1DCC"/>
    <w:rPr>
      <w:rFonts w:ascii="Times New Roman" w:hAnsi="Times New Roman"/>
      <w:b/>
      <w:bCs/>
      <w:sz w:val="20"/>
      <w:szCs w:val="20"/>
    </w:rPr>
  </w:style>
  <w:style w:type="paragraph" w:styleId="Revision">
    <w:name w:val="Revision"/>
    <w:hidden/>
    <w:uiPriority w:val="99"/>
    <w:semiHidden/>
    <w:rsid w:val="003C219A"/>
    <w:pPr>
      <w:spacing w:after="0" w:line="240" w:lineRule="auto"/>
    </w:pPr>
    <w:rPr>
      <w:rFonts w:ascii="Times New Roman" w:hAnsi="Times New Roman"/>
      <w:sz w:val="24"/>
    </w:rPr>
  </w:style>
  <w:style w:type="paragraph" w:styleId="NormalWeb">
    <w:name w:val="Normal (Web)"/>
    <w:basedOn w:val="Normal"/>
    <w:uiPriority w:val="99"/>
    <w:semiHidden/>
    <w:unhideWhenUsed/>
    <w:rsid w:val="000E3C10"/>
    <w:pPr>
      <w:spacing w:before="100" w:beforeAutospacing="1" w:after="100" w:afterAutospacing="1" w:line="240" w:lineRule="auto"/>
    </w:pPr>
    <w:rPr>
      <w:rFonts w:eastAsia="Times New Roman" w:cs="Times New Roman"/>
      <w:szCs w:val="24"/>
    </w:rPr>
  </w:style>
  <w:style w:type="paragraph" w:customStyle="1" w:styleId="pdq2pgselectionanchorcontainer">
    <w:name w:val="pdq2pg_selectionanchorcontainer"/>
    <w:basedOn w:val="Normal"/>
    <w:rsid w:val="00BA24E5"/>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1587</Words>
  <Characters>9050</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Policy No. 64A-IP-02</vt:lpstr>
      <vt:lpstr>    Application of § 58-64A-360(b) Waiver Authority for Independent Member Attendanc</vt:lpstr>
      <vt:lpstr>        Purpose</vt:lpstr>
      <vt:lpstr>        Background and Statutory Basis</vt:lpstr>
      <vt:lpstr>        When a Waiver May Be Considered</vt:lpstr>
      <vt:lpstr>        Departmental Application of the Waiver</vt:lpstr>
      <vt:lpstr>        Rationale	</vt:lpstr>
      <vt:lpstr>        Department Review and Oversight</vt:lpstr>
      <vt:lpstr>        Implementation</vt:lpstr>
    </vt:vector>
  </TitlesOfParts>
  <Manager/>
  <Company/>
  <LinksUpToDate>false</LinksUpToDate>
  <CharactersWithSpaces>10616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Trendel, Jeff</cp:lastModifiedBy>
  <cp:revision>5</cp:revision>
  <dcterms:created xsi:type="dcterms:W3CDTF">2026-06-02T11:08:00Z</dcterms:created>
  <dcterms:modified xsi:type="dcterms:W3CDTF">2026-08-25T14:02:00Z</dcterms:modified>
  <cp:category/>
</cp:coreProperties>
</file>