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0ED9A" w14:textId="77777777" w:rsidR="001D118C" w:rsidRDefault="001D118C">
      <w:pPr>
        <w:pStyle w:val="BodyText"/>
      </w:pPr>
      <w:r>
        <w:t>NORTH CAROLINA DEPARTMENT OF INSURANCE</w:t>
      </w:r>
    </w:p>
    <w:p w14:paraId="00581DDE" w14:textId="44C6E47D" w:rsidR="001D118C" w:rsidRDefault="00854828">
      <w:pPr>
        <w:pStyle w:val="BodyText"/>
      </w:pPr>
      <w:r>
        <w:t>20</w:t>
      </w:r>
      <w:r w:rsidR="001E77D6">
        <w:t>2</w:t>
      </w:r>
      <w:r w:rsidR="006C188D">
        <w:t>1</w:t>
      </w:r>
      <w:r w:rsidR="002C7CFE">
        <w:t xml:space="preserve"> </w:t>
      </w:r>
      <w:r w:rsidR="001D118C">
        <w:t>COUNTY FARM MUTUAL REQUEST FOR EXEMPTION FROM FILING QUARTERLY STATEMENTS</w:t>
      </w:r>
    </w:p>
    <w:p w14:paraId="4F7E76DC" w14:textId="77777777" w:rsidR="001D118C" w:rsidRDefault="001D118C">
      <w:pPr>
        <w:jc w:val="center"/>
        <w:rPr>
          <w:rFonts w:ascii="Arial" w:hAnsi="Arial"/>
          <w:b/>
          <w:sz w:val="28"/>
        </w:rPr>
      </w:pPr>
    </w:p>
    <w:p w14:paraId="3F1A5279" w14:textId="695E5A27" w:rsidR="00724F9D" w:rsidRDefault="001D118C" w:rsidP="00FE4990">
      <w:pPr>
        <w:pStyle w:val="BodyText2"/>
        <w:spacing w:line="276" w:lineRule="auto"/>
      </w:pPr>
      <w:r>
        <w:t xml:space="preserve">The North Carolina Department of Insurance (“Department”) has developed criteria relating to gross written premiums and net written premiums to surplus; reinsurance adequacy; and investment quality and diversification for use in determining whether an exemption from the </w:t>
      </w:r>
      <w:r w:rsidR="00854828">
        <w:t>20</w:t>
      </w:r>
      <w:r w:rsidR="001E77D6">
        <w:t>2</w:t>
      </w:r>
      <w:r w:rsidR="006C188D">
        <w:t>1</w:t>
      </w:r>
      <w:r w:rsidR="002C7CFE">
        <w:t xml:space="preserve"> </w:t>
      </w:r>
      <w:r>
        <w:t>statutory quarterly statement filing</w:t>
      </w:r>
      <w:r w:rsidR="005818E2">
        <w:t xml:space="preserve"> requirements</w:t>
      </w:r>
      <w:r>
        <w:t xml:space="preserve"> may be granted.  </w:t>
      </w:r>
    </w:p>
    <w:p w14:paraId="33EEF6CC" w14:textId="77777777" w:rsidR="00724F9D" w:rsidRDefault="00724F9D" w:rsidP="00FE4990">
      <w:pPr>
        <w:pStyle w:val="BodyText2"/>
        <w:spacing w:line="276" w:lineRule="auto"/>
      </w:pPr>
    </w:p>
    <w:p w14:paraId="41A2AC04" w14:textId="4FA0BCE2" w:rsidR="001D118C" w:rsidRDefault="001D118C" w:rsidP="00FE4990">
      <w:pPr>
        <w:pStyle w:val="BodyText2"/>
        <w:spacing w:line="276" w:lineRule="auto"/>
      </w:pPr>
      <w:r>
        <w:t xml:space="preserve">Please provide the following information as of December 31, </w:t>
      </w:r>
      <w:r w:rsidR="00854828">
        <w:t>20</w:t>
      </w:r>
      <w:r w:rsidR="006C188D">
        <w:t>20</w:t>
      </w:r>
      <w:r>
        <w:t xml:space="preserve">, </w:t>
      </w:r>
      <w:r w:rsidRPr="00A44A43">
        <w:rPr>
          <w:u w:val="single"/>
        </w:rPr>
        <w:t xml:space="preserve">by </w:t>
      </w:r>
      <w:r w:rsidR="00EC5891" w:rsidRPr="00A44A43">
        <w:rPr>
          <w:u w:val="single"/>
        </w:rPr>
        <w:t>M</w:t>
      </w:r>
      <w:r w:rsidR="00EC5891">
        <w:rPr>
          <w:u w:val="single"/>
        </w:rPr>
        <w:t xml:space="preserve">arch 1, </w:t>
      </w:r>
      <w:r w:rsidR="00854828">
        <w:rPr>
          <w:u w:val="single"/>
        </w:rPr>
        <w:t>20</w:t>
      </w:r>
      <w:r w:rsidR="001E77D6">
        <w:rPr>
          <w:u w:val="single"/>
        </w:rPr>
        <w:t>2</w:t>
      </w:r>
      <w:r w:rsidR="006C188D">
        <w:rPr>
          <w:u w:val="single"/>
        </w:rPr>
        <w:t>1</w:t>
      </w:r>
      <w:r>
        <w:t>, in order that the Department may further consider the Company’s exemption request.</w:t>
      </w:r>
    </w:p>
    <w:p w14:paraId="18ADF25E" w14:textId="77777777" w:rsidR="001D118C" w:rsidRDefault="001D118C" w:rsidP="00FE4990">
      <w:pPr>
        <w:spacing w:line="276" w:lineRule="auto"/>
        <w:rPr>
          <w:rFonts w:ascii="Arial" w:hAnsi="Arial"/>
          <w:sz w:val="22"/>
        </w:rPr>
      </w:pPr>
    </w:p>
    <w:p w14:paraId="6437BC9D" w14:textId="77777777" w:rsidR="001D118C" w:rsidRDefault="001D118C" w:rsidP="00FE4990">
      <w:pPr>
        <w:pStyle w:val="Heading1"/>
        <w:numPr>
          <w:ilvl w:val="0"/>
          <w:numId w:val="4"/>
        </w:numPr>
        <w:spacing w:line="276" w:lineRule="auto"/>
      </w:pPr>
      <w:r>
        <w:t>Company Name</w:t>
      </w:r>
    </w:p>
    <w:p w14:paraId="494BC347" w14:textId="77777777" w:rsidR="001D118C" w:rsidRDefault="001D118C" w:rsidP="00FE4990">
      <w:pPr>
        <w:spacing w:line="276" w:lineRule="auto"/>
      </w:pPr>
    </w:p>
    <w:p w14:paraId="7A8F5860" w14:textId="77777777" w:rsidR="001D118C" w:rsidRDefault="001D118C" w:rsidP="00FE4990">
      <w:pPr>
        <w:pStyle w:val="BodyText2"/>
        <w:numPr>
          <w:ilvl w:val="0"/>
          <w:numId w:val="4"/>
        </w:numPr>
        <w:spacing w:line="276" w:lineRule="auto"/>
        <w:rPr>
          <w:b/>
        </w:rPr>
      </w:pPr>
      <w:r>
        <w:rPr>
          <w:b/>
        </w:rPr>
        <w:t>Contact Person’s Name, Telephone Number, and Email Address (if applicable)</w:t>
      </w:r>
    </w:p>
    <w:p w14:paraId="683E560E" w14:textId="77777777" w:rsidR="001D118C" w:rsidRDefault="001D118C" w:rsidP="00FE4990">
      <w:pPr>
        <w:spacing w:line="276" w:lineRule="auto"/>
        <w:rPr>
          <w:rFonts w:ascii="Arial" w:hAnsi="Arial"/>
          <w:b/>
          <w:sz w:val="22"/>
        </w:rPr>
      </w:pPr>
    </w:p>
    <w:p w14:paraId="3A78489A" w14:textId="77777777" w:rsidR="001D118C" w:rsidRDefault="001D118C" w:rsidP="00FE4990">
      <w:pPr>
        <w:pStyle w:val="Heading1"/>
        <w:numPr>
          <w:ilvl w:val="0"/>
          <w:numId w:val="4"/>
        </w:numPr>
        <w:spacing w:line="276" w:lineRule="auto"/>
      </w:pPr>
      <w:r>
        <w:t>Gross Written Premium to Surplus Ratio</w:t>
      </w:r>
    </w:p>
    <w:p w14:paraId="33861CE7" w14:textId="77777777" w:rsidR="001D118C" w:rsidRDefault="001D118C" w:rsidP="00FE4990">
      <w:pPr>
        <w:pStyle w:val="BodyText2"/>
        <w:spacing w:line="276" w:lineRule="auto"/>
        <w:ind w:left="360"/>
      </w:pPr>
      <w:r w:rsidRPr="00793F63">
        <w:t xml:space="preserve">Ratio is calculated as follows:  (Page 8 Part 1B Line </w:t>
      </w:r>
      <w:r w:rsidRPr="00941784">
        <w:t>3</w:t>
      </w:r>
      <w:r w:rsidR="002F3D96" w:rsidRPr="00941784">
        <w:t>5</w:t>
      </w:r>
      <w:r w:rsidRPr="00793F63">
        <w:t xml:space="preserve"> Cols 1 + 2 + 3) divided by (Page 3 Line 3</w:t>
      </w:r>
      <w:r w:rsidR="00296099">
        <w:t>7</w:t>
      </w:r>
      <w:r w:rsidRPr="00793F63">
        <w:t>)</w:t>
      </w:r>
      <w:r>
        <w:t xml:space="preserve">  </w:t>
      </w:r>
    </w:p>
    <w:p w14:paraId="3B0FA568" w14:textId="77777777" w:rsidR="001D118C" w:rsidRDefault="001D118C" w:rsidP="00FE4990">
      <w:pPr>
        <w:pStyle w:val="BodyText2"/>
        <w:spacing w:line="276" w:lineRule="auto"/>
        <w:ind w:left="360"/>
      </w:pPr>
    </w:p>
    <w:p w14:paraId="6249584D" w14:textId="61D6BDBE" w:rsidR="001D118C" w:rsidRDefault="001D118C" w:rsidP="00FE4990">
      <w:pPr>
        <w:pStyle w:val="BodyText2"/>
        <w:spacing w:line="276" w:lineRule="auto"/>
        <w:ind w:left="360"/>
        <w:rPr>
          <w:i/>
        </w:rPr>
      </w:pPr>
      <w:r>
        <w:rPr>
          <w:i/>
        </w:rPr>
        <w:t xml:space="preserve">Note: A county farm mutual with a ratio greater than .75/1 must file quarterly statements during </w:t>
      </w:r>
      <w:r w:rsidR="00854828">
        <w:rPr>
          <w:i/>
        </w:rPr>
        <w:t>20</w:t>
      </w:r>
      <w:r w:rsidR="001E77D6">
        <w:rPr>
          <w:i/>
        </w:rPr>
        <w:t>2</w:t>
      </w:r>
      <w:r w:rsidR="006C188D">
        <w:rPr>
          <w:i/>
        </w:rPr>
        <w:t>1</w:t>
      </w:r>
      <w:r>
        <w:rPr>
          <w:i/>
        </w:rPr>
        <w:t xml:space="preserve">.  </w:t>
      </w:r>
    </w:p>
    <w:p w14:paraId="32CD73CA" w14:textId="77777777" w:rsidR="001D118C" w:rsidRDefault="001D118C" w:rsidP="00FE4990">
      <w:pPr>
        <w:spacing w:line="276" w:lineRule="auto"/>
        <w:rPr>
          <w:rFonts w:ascii="Arial" w:hAnsi="Arial"/>
          <w:sz w:val="22"/>
        </w:rPr>
      </w:pPr>
    </w:p>
    <w:p w14:paraId="0EDFE2DA" w14:textId="77777777" w:rsidR="001D118C" w:rsidRPr="00793F63" w:rsidRDefault="001D118C" w:rsidP="00FE4990">
      <w:pPr>
        <w:pStyle w:val="Heading1"/>
        <w:numPr>
          <w:ilvl w:val="0"/>
          <w:numId w:val="6"/>
        </w:numPr>
        <w:spacing w:line="276" w:lineRule="auto"/>
      </w:pPr>
      <w:r w:rsidRPr="00793F63">
        <w:t>Net Written Premium to Surplus Ratio</w:t>
      </w:r>
    </w:p>
    <w:p w14:paraId="3E0E9033" w14:textId="77777777" w:rsidR="001D118C" w:rsidRDefault="001D118C" w:rsidP="00FE4990">
      <w:pPr>
        <w:spacing w:line="276" w:lineRule="auto"/>
        <w:ind w:left="360"/>
        <w:rPr>
          <w:rFonts w:ascii="Arial" w:hAnsi="Arial"/>
          <w:sz w:val="22"/>
        </w:rPr>
      </w:pPr>
      <w:r w:rsidRPr="00941784">
        <w:rPr>
          <w:rFonts w:ascii="Arial" w:hAnsi="Arial"/>
          <w:sz w:val="22"/>
        </w:rPr>
        <w:t>Ratio is calculated as follows:  (Page 8 Part 1B Line 3</w:t>
      </w:r>
      <w:r w:rsidR="002F3D96" w:rsidRPr="00941784">
        <w:rPr>
          <w:rFonts w:ascii="Arial" w:hAnsi="Arial"/>
          <w:sz w:val="22"/>
        </w:rPr>
        <w:t>5</w:t>
      </w:r>
      <w:r w:rsidRPr="00793F63">
        <w:rPr>
          <w:rFonts w:ascii="Arial" w:hAnsi="Arial"/>
          <w:sz w:val="22"/>
        </w:rPr>
        <w:t xml:space="preserve"> Col 6) divided by (Page 3 Line 3</w:t>
      </w:r>
      <w:r w:rsidR="00296099">
        <w:rPr>
          <w:rFonts w:ascii="Arial" w:hAnsi="Arial"/>
          <w:sz w:val="22"/>
        </w:rPr>
        <w:t>7</w:t>
      </w:r>
      <w:r w:rsidRPr="00793F63">
        <w:rPr>
          <w:rFonts w:ascii="Arial" w:hAnsi="Arial"/>
          <w:sz w:val="22"/>
        </w:rPr>
        <w:t>)</w:t>
      </w:r>
    </w:p>
    <w:p w14:paraId="4FBEC78C" w14:textId="77777777" w:rsidR="001D118C" w:rsidRDefault="001D118C" w:rsidP="00FE4990">
      <w:pPr>
        <w:spacing w:line="276" w:lineRule="auto"/>
        <w:ind w:left="360"/>
        <w:rPr>
          <w:rFonts w:ascii="Arial" w:hAnsi="Arial"/>
          <w:sz w:val="22"/>
        </w:rPr>
      </w:pPr>
    </w:p>
    <w:p w14:paraId="64FA2996" w14:textId="7B99A6C5" w:rsidR="001D118C" w:rsidRDefault="001D118C" w:rsidP="00FE4990">
      <w:pPr>
        <w:pStyle w:val="BodyText3"/>
        <w:spacing w:line="276" w:lineRule="auto"/>
        <w:ind w:left="360"/>
      </w:pPr>
      <w:r>
        <w:t xml:space="preserve">Note:  A county farm mutual with a ratio greater than .33/1 must file quarterly statements during </w:t>
      </w:r>
      <w:r w:rsidR="00854828">
        <w:t>20</w:t>
      </w:r>
      <w:r w:rsidR="001E77D6">
        <w:t>2</w:t>
      </w:r>
      <w:r w:rsidR="006C188D">
        <w:t>1</w:t>
      </w:r>
      <w:r>
        <w:t>.</w:t>
      </w:r>
    </w:p>
    <w:p w14:paraId="6C1A56A0" w14:textId="77777777" w:rsidR="001D118C" w:rsidRDefault="001D118C" w:rsidP="00FE4990">
      <w:pPr>
        <w:pStyle w:val="BodyText2"/>
        <w:spacing w:line="276" w:lineRule="auto"/>
      </w:pPr>
    </w:p>
    <w:p w14:paraId="497A30FC" w14:textId="77777777" w:rsidR="001D118C" w:rsidRDefault="001D118C" w:rsidP="00FE4990">
      <w:pPr>
        <w:pStyle w:val="BodyText2"/>
        <w:numPr>
          <w:ilvl w:val="0"/>
          <w:numId w:val="6"/>
        </w:numPr>
        <w:spacing w:line="276" w:lineRule="auto"/>
        <w:rPr>
          <w:b/>
        </w:rPr>
      </w:pPr>
      <w:r>
        <w:rPr>
          <w:b/>
        </w:rPr>
        <w:t xml:space="preserve">Reinsurance Adequacy: </w:t>
      </w:r>
    </w:p>
    <w:p w14:paraId="6FB60CEF" w14:textId="77777777" w:rsidR="009222DB" w:rsidRDefault="001D118C" w:rsidP="00FE4990">
      <w:pPr>
        <w:pStyle w:val="BodyText2"/>
        <w:spacing w:line="276" w:lineRule="auto"/>
        <w:ind w:left="360"/>
      </w:pPr>
      <w:r>
        <w:t xml:space="preserve">Provide a written summary of the Company’s reinsurance program.  This summary must include, at a minimum, information which addresses: </w:t>
      </w:r>
    </w:p>
    <w:p w14:paraId="361B216A" w14:textId="77777777" w:rsidR="009222DB" w:rsidRDefault="009222DB" w:rsidP="00FE4990">
      <w:pPr>
        <w:pStyle w:val="BodyText2"/>
        <w:spacing w:line="276" w:lineRule="auto"/>
        <w:ind w:left="360"/>
      </w:pPr>
    </w:p>
    <w:p w14:paraId="49DDAB43" w14:textId="43875C76" w:rsidR="009222DB" w:rsidRDefault="00724F9D" w:rsidP="00FE4990">
      <w:pPr>
        <w:pStyle w:val="BodyText2"/>
        <w:numPr>
          <w:ilvl w:val="0"/>
          <w:numId w:val="11"/>
        </w:numPr>
        <w:spacing w:line="276" w:lineRule="auto"/>
        <w:ind w:left="720"/>
      </w:pPr>
      <w:r>
        <w:t>T</w:t>
      </w:r>
      <w:r w:rsidR="001D118C">
        <w:t xml:space="preserve">he financial stability of the Company’s reinsurers; </w:t>
      </w:r>
    </w:p>
    <w:p w14:paraId="57FFF551" w14:textId="77777777" w:rsidR="009222DB" w:rsidRDefault="009222DB" w:rsidP="00FE4990">
      <w:pPr>
        <w:pStyle w:val="BodyText2"/>
        <w:spacing w:line="276" w:lineRule="auto"/>
      </w:pPr>
    </w:p>
    <w:p w14:paraId="11730550" w14:textId="4DE0A045" w:rsidR="009222DB" w:rsidRDefault="00724F9D" w:rsidP="00FE4990">
      <w:pPr>
        <w:pStyle w:val="BodyText2"/>
        <w:numPr>
          <w:ilvl w:val="0"/>
          <w:numId w:val="11"/>
        </w:numPr>
        <w:spacing w:line="276" w:lineRule="auto"/>
        <w:ind w:left="720"/>
      </w:pPr>
      <w:r>
        <w:t>T</w:t>
      </w:r>
      <w:r w:rsidR="001D118C">
        <w:t>he reinsurance program structure (types of reinsurance arrangements such as quota share, excess of loss, catastrophe), the coverage provided</w:t>
      </w:r>
      <w:r w:rsidR="001E77D6">
        <w:t>,</w:t>
      </w:r>
      <w:r w:rsidR="001D118C">
        <w:t xml:space="preserve"> and premiums ceded under each arrangement, retention levels (including per occurrence, in the aggregate, and the Company’s ultimate retention); </w:t>
      </w:r>
    </w:p>
    <w:p w14:paraId="049F7C39" w14:textId="77777777" w:rsidR="009222DB" w:rsidRDefault="009222DB" w:rsidP="00FE4990">
      <w:pPr>
        <w:pStyle w:val="BodyText2"/>
        <w:spacing w:line="276" w:lineRule="auto"/>
      </w:pPr>
    </w:p>
    <w:p w14:paraId="756D45FC" w14:textId="17DE9BB1" w:rsidR="009222DB" w:rsidRDefault="00724F9D" w:rsidP="00FE4990">
      <w:pPr>
        <w:pStyle w:val="BodyText2"/>
        <w:numPr>
          <w:ilvl w:val="0"/>
          <w:numId w:val="11"/>
        </w:numPr>
        <w:spacing w:line="276" w:lineRule="auto"/>
        <w:ind w:left="720"/>
      </w:pPr>
      <w:r>
        <w:t>A</w:t>
      </w:r>
      <w:r w:rsidR="001D118C">
        <w:t xml:space="preserve">ppropriateness of the reinsurance program relative to the lines of business written; </w:t>
      </w:r>
    </w:p>
    <w:p w14:paraId="7C22C5FC" w14:textId="77777777" w:rsidR="009222DB" w:rsidRDefault="009222DB" w:rsidP="00FE4990">
      <w:pPr>
        <w:pStyle w:val="BodyText2"/>
        <w:spacing w:line="276" w:lineRule="auto"/>
      </w:pPr>
    </w:p>
    <w:p w14:paraId="5D12550C" w14:textId="5207A03A" w:rsidR="009222DB" w:rsidRDefault="00724F9D" w:rsidP="00FE4990">
      <w:pPr>
        <w:pStyle w:val="BodyText2"/>
        <w:numPr>
          <w:ilvl w:val="0"/>
          <w:numId w:val="11"/>
        </w:numPr>
        <w:spacing w:line="276" w:lineRule="auto"/>
        <w:ind w:left="720"/>
      </w:pPr>
      <w:r>
        <w:t>A</w:t>
      </w:r>
      <w:r w:rsidR="001D118C" w:rsidRPr="00793F63">
        <w:t>dequacy of the reinsurance program’s protection of the Company’s policyholder’s surplus from catastrophic loss</w:t>
      </w:r>
      <w:r w:rsidR="00E37803">
        <w:t>; and</w:t>
      </w:r>
      <w:r w:rsidR="001D118C" w:rsidRPr="00793F63">
        <w:t xml:space="preserve">  </w:t>
      </w:r>
    </w:p>
    <w:p w14:paraId="23559AFB" w14:textId="77777777" w:rsidR="004D13DA" w:rsidRDefault="004D13DA" w:rsidP="00FE4990">
      <w:pPr>
        <w:pStyle w:val="ListParagraph"/>
        <w:spacing w:line="276" w:lineRule="auto"/>
      </w:pPr>
    </w:p>
    <w:p w14:paraId="26275F0F" w14:textId="65E94C1B" w:rsidR="001D118C" w:rsidRPr="00793F63" w:rsidRDefault="00724F9D" w:rsidP="00FE4990">
      <w:pPr>
        <w:pStyle w:val="BodyText2"/>
        <w:numPr>
          <w:ilvl w:val="0"/>
          <w:numId w:val="11"/>
        </w:numPr>
        <w:spacing w:line="276" w:lineRule="auto"/>
        <w:ind w:left="720"/>
      </w:pPr>
      <w:r>
        <w:t>S</w:t>
      </w:r>
      <w:r w:rsidR="004D13DA" w:rsidRPr="004D13DA">
        <w:t xml:space="preserve">ummary of </w:t>
      </w:r>
      <w:r w:rsidR="008B19E5" w:rsidRPr="004D13DA">
        <w:t xml:space="preserve">any </w:t>
      </w:r>
      <w:r w:rsidR="001D118C" w:rsidRPr="004D13DA">
        <w:t xml:space="preserve">changes that have occurred </w:t>
      </w:r>
      <w:r w:rsidR="008B19E5" w:rsidRPr="004D13DA">
        <w:t>during 20</w:t>
      </w:r>
      <w:r w:rsidR="006C188D">
        <w:t>20</w:t>
      </w:r>
      <w:r w:rsidR="008B19E5" w:rsidRPr="004D13DA">
        <w:t>.</w:t>
      </w:r>
    </w:p>
    <w:p w14:paraId="4F768E0D" w14:textId="717EACE0" w:rsidR="009222DB" w:rsidRDefault="009222DB" w:rsidP="00FE4990">
      <w:pPr>
        <w:pStyle w:val="BodyText2"/>
        <w:spacing w:line="276" w:lineRule="auto"/>
        <w:ind w:left="360"/>
      </w:pPr>
    </w:p>
    <w:p w14:paraId="23BAF321" w14:textId="77777777" w:rsidR="00724F9D" w:rsidRPr="00793F63" w:rsidRDefault="00724F9D" w:rsidP="00FE4990">
      <w:pPr>
        <w:pStyle w:val="BodyText2"/>
        <w:spacing w:line="276" w:lineRule="auto"/>
        <w:ind w:left="360"/>
      </w:pPr>
    </w:p>
    <w:p w14:paraId="12346D21" w14:textId="1752F7A0" w:rsidR="001D118C" w:rsidRDefault="001D118C" w:rsidP="00FE4990">
      <w:pPr>
        <w:pStyle w:val="BodyText2"/>
        <w:spacing w:line="276" w:lineRule="auto"/>
        <w:rPr>
          <w:i/>
        </w:rPr>
      </w:pPr>
      <w:r w:rsidRPr="00793F63">
        <w:rPr>
          <w:i/>
        </w:rPr>
        <w:lastRenderedPageBreak/>
        <w:t>NOTE:  Initially, the Department, without</w:t>
      </w:r>
      <w:r>
        <w:rPr>
          <w:i/>
        </w:rPr>
        <w:t xml:space="preserve"> completing a detail review of the Company’s reinsurance program, may allow an exemption from the </w:t>
      </w:r>
      <w:r w:rsidR="00854828">
        <w:rPr>
          <w:i/>
        </w:rPr>
        <w:t>20</w:t>
      </w:r>
      <w:r w:rsidR="001E77D6">
        <w:rPr>
          <w:i/>
        </w:rPr>
        <w:t>2</w:t>
      </w:r>
      <w:r w:rsidR="006C188D">
        <w:rPr>
          <w:i/>
        </w:rPr>
        <w:t>1</w:t>
      </w:r>
      <w:r w:rsidR="009048C1">
        <w:rPr>
          <w:i/>
        </w:rPr>
        <w:t xml:space="preserve"> </w:t>
      </w:r>
      <w:r>
        <w:rPr>
          <w:i/>
        </w:rPr>
        <w:t>quarterly statement filings.   However, a review of this program will be completed as part of the Department’s financial review of the Company.  If concerns with the reinsurance program arise during this review, the Company may then be required to file quarterly statements for the remainder of the year or until such concerns are addressed.</w:t>
      </w:r>
    </w:p>
    <w:p w14:paraId="63F29285" w14:textId="77777777" w:rsidR="009222DB" w:rsidRDefault="009222DB" w:rsidP="00FE4990">
      <w:pPr>
        <w:spacing w:line="276" w:lineRule="auto"/>
        <w:rPr>
          <w:rFonts w:ascii="Arial" w:hAnsi="Arial"/>
          <w:sz w:val="22"/>
        </w:rPr>
      </w:pPr>
    </w:p>
    <w:p w14:paraId="6BEBD500" w14:textId="77777777" w:rsidR="001D118C" w:rsidRDefault="001D118C" w:rsidP="00FE4990">
      <w:pPr>
        <w:numPr>
          <w:ilvl w:val="0"/>
          <w:numId w:val="6"/>
        </w:numPr>
        <w:spacing w:line="276" w:lineRule="auto"/>
        <w:rPr>
          <w:rFonts w:ascii="Arial" w:hAnsi="Arial"/>
          <w:b/>
          <w:sz w:val="22"/>
        </w:rPr>
      </w:pPr>
      <w:r>
        <w:rPr>
          <w:rFonts w:ascii="Arial" w:hAnsi="Arial"/>
          <w:b/>
          <w:sz w:val="22"/>
        </w:rPr>
        <w:t xml:space="preserve">Investment Quality and Diversification: </w:t>
      </w:r>
    </w:p>
    <w:p w14:paraId="515763AD" w14:textId="77777777" w:rsidR="001D118C" w:rsidRDefault="001D118C" w:rsidP="00FE4990">
      <w:pPr>
        <w:spacing w:line="276" w:lineRule="auto"/>
        <w:rPr>
          <w:rFonts w:ascii="Arial" w:hAnsi="Arial"/>
          <w:b/>
          <w:sz w:val="22"/>
        </w:rPr>
      </w:pPr>
    </w:p>
    <w:p w14:paraId="2097B54C" w14:textId="77777777" w:rsidR="001D118C" w:rsidRDefault="001D118C" w:rsidP="00FE4990">
      <w:pPr>
        <w:numPr>
          <w:ilvl w:val="0"/>
          <w:numId w:val="7"/>
        </w:numPr>
        <w:spacing w:line="276" w:lineRule="auto"/>
        <w:ind w:firstLine="0"/>
        <w:rPr>
          <w:rFonts w:ascii="Arial" w:hAnsi="Arial"/>
          <w:sz w:val="22"/>
        </w:rPr>
      </w:pPr>
      <w:r>
        <w:rPr>
          <w:rFonts w:ascii="Arial" w:hAnsi="Arial"/>
          <w:sz w:val="22"/>
        </w:rPr>
        <w:t xml:space="preserve">An </w:t>
      </w:r>
      <w:r>
        <w:rPr>
          <w:rFonts w:ascii="Arial" w:hAnsi="Arial"/>
          <w:sz w:val="22"/>
          <w:u w:val="single"/>
        </w:rPr>
        <w:t>attestation by the Company’s President</w:t>
      </w:r>
      <w:r>
        <w:rPr>
          <w:rFonts w:ascii="Arial" w:hAnsi="Arial"/>
          <w:sz w:val="22"/>
        </w:rPr>
        <w:t xml:space="preserve"> to the following:  </w:t>
      </w:r>
    </w:p>
    <w:p w14:paraId="7712E917" w14:textId="77777777" w:rsidR="001D118C" w:rsidRDefault="001D118C" w:rsidP="00FE4990">
      <w:pPr>
        <w:spacing w:line="276" w:lineRule="auto"/>
        <w:rPr>
          <w:rFonts w:ascii="Arial" w:hAnsi="Arial"/>
          <w:sz w:val="22"/>
        </w:rPr>
      </w:pPr>
    </w:p>
    <w:p w14:paraId="2B85184F" w14:textId="77777777" w:rsidR="001D118C" w:rsidRDefault="001D118C" w:rsidP="00FE4990">
      <w:pPr>
        <w:pStyle w:val="BodyText3"/>
        <w:spacing w:line="276" w:lineRule="auto"/>
        <w:ind w:left="720" w:right="720"/>
      </w:pPr>
      <w:r>
        <w:t>“The Company maintains properly qualified and diversified invested assets (not including real estate and private placement securities) that are at least equal to three times the Company’s policyholder-related liabilities.”</w:t>
      </w:r>
    </w:p>
    <w:p w14:paraId="2C025967" w14:textId="77777777" w:rsidR="001D118C" w:rsidRDefault="001D118C" w:rsidP="00FE4990">
      <w:pPr>
        <w:pStyle w:val="BodyText3"/>
        <w:spacing w:line="276" w:lineRule="auto"/>
        <w:rPr>
          <w:i w:val="0"/>
        </w:rPr>
      </w:pPr>
    </w:p>
    <w:p w14:paraId="712CA1ED" w14:textId="77777777" w:rsidR="009222DB" w:rsidRPr="000573A3" w:rsidRDefault="001D118C" w:rsidP="00FE4990">
      <w:pPr>
        <w:numPr>
          <w:ilvl w:val="0"/>
          <w:numId w:val="7"/>
        </w:numPr>
        <w:tabs>
          <w:tab w:val="clear" w:pos="360"/>
          <w:tab w:val="num" w:pos="720"/>
        </w:tabs>
        <w:spacing w:line="276" w:lineRule="auto"/>
        <w:ind w:left="720"/>
        <w:rPr>
          <w:rFonts w:ascii="Arial" w:hAnsi="Arial"/>
          <w:i/>
          <w:sz w:val="22"/>
        </w:rPr>
      </w:pPr>
      <w:r>
        <w:rPr>
          <w:rFonts w:ascii="Arial" w:hAnsi="Arial"/>
          <w:sz w:val="22"/>
        </w:rPr>
        <w:t xml:space="preserve">The Company’s calculation of high quality and properly diversified invested </w:t>
      </w:r>
      <w:r w:rsidRPr="00793F63">
        <w:rPr>
          <w:rFonts w:ascii="Arial" w:hAnsi="Arial"/>
          <w:sz w:val="22"/>
        </w:rPr>
        <w:t xml:space="preserve">assets and policyholder-related liabilities, demonstrating these assets are at least </w:t>
      </w:r>
      <w:r w:rsidRPr="001017A6">
        <w:rPr>
          <w:rFonts w:ascii="Arial" w:hAnsi="Arial"/>
          <w:sz w:val="22"/>
          <w:u w:val="single"/>
        </w:rPr>
        <w:t>three times</w:t>
      </w:r>
      <w:r w:rsidRPr="00793F63">
        <w:rPr>
          <w:rFonts w:ascii="Arial" w:hAnsi="Arial"/>
          <w:sz w:val="22"/>
        </w:rPr>
        <w:t xml:space="preserve"> the policyholder-related liabilities. </w:t>
      </w:r>
    </w:p>
    <w:p w14:paraId="584CF54F" w14:textId="77777777" w:rsidR="009222DB" w:rsidRPr="000573A3" w:rsidRDefault="009222DB" w:rsidP="00FE4990">
      <w:pPr>
        <w:spacing w:line="276" w:lineRule="auto"/>
        <w:ind w:left="720"/>
        <w:rPr>
          <w:rFonts w:ascii="Arial" w:hAnsi="Arial"/>
          <w:i/>
          <w:sz w:val="22"/>
        </w:rPr>
      </w:pPr>
    </w:p>
    <w:p w14:paraId="1B6BCD6A" w14:textId="77777777" w:rsidR="001D118C" w:rsidRPr="00793F63" w:rsidRDefault="001D118C" w:rsidP="00FE4990">
      <w:pPr>
        <w:spacing w:line="276" w:lineRule="auto"/>
        <w:ind w:left="720"/>
        <w:rPr>
          <w:rFonts w:ascii="Arial" w:hAnsi="Arial"/>
          <w:i/>
          <w:sz w:val="22"/>
        </w:rPr>
      </w:pPr>
      <w:r w:rsidRPr="00793F63">
        <w:rPr>
          <w:rFonts w:ascii="Arial" w:hAnsi="Arial"/>
          <w:i/>
          <w:sz w:val="22"/>
        </w:rPr>
        <w:t>(Policyholder-related liabilities include the following lines on Page 3 of the Annual Statement: 1, 2, 3, 9, 10, 11.2, 12, 13, 15, 16, 18 and applicable write-ins.)</w:t>
      </w:r>
    </w:p>
    <w:p w14:paraId="11B41CB3" w14:textId="77777777" w:rsidR="001D118C" w:rsidRDefault="001D118C" w:rsidP="00FE4990">
      <w:pPr>
        <w:pStyle w:val="BodyText3"/>
        <w:tabs>
          <w:tab w:val="num" w:pos="720"/>
        </w:tabs>
        <w:spacing w:line="276" w:lineRule="auto"/>
        <w:ind w:left="720"/>
      </w:pPr>
    </w:p>
    <w:p w14:paraId="45BDB38D" w14:textId="42E5CAA5" w:rsidR="001D118C" w:rsidRDefault="001D118C" w:rsidP="00FE4990">
      <w:pPr>
        <w:pStyle w:val="BodyText3"/>
        <w:tabs>
          <w:tab w:val="num" w:pos="360"/>
        </w:tabs>
        <w:spacing w:line="276" w:lineRule="auto"/>
      </w:pPr>
      <w:r>
        <w:t>N</w:t>
      </w:r>
      <w:r w:rsidR="009222DB">
        <w:t>OTE</w:t>
      </w:r>
      <w:r>
        <w:t>:  A Company that does not maintain properly qualified and diversified invested asset</w:t>
      </w:r>
      <w:r w:rsidR="00E37803">
        <w:t>s</w:t>
      </w:r>
      <w:r>
        <w:t xml:space="preserve">, which are at least equal to </w:t>
      </w:r>
      <w:r w:rsidRPr="00FB6065">
        <w:rPr>
          <w:u w:val="single"/>
        </w:rPr>
        <w:t>three times</w:t>
      </w:r>
      <w:r>
        <w:t xml:space="preserve"> the policyholder-related liabilities must file the </w:t>
      </w:r>
      <w:r w:rsidR="00854828">
        <w:t>20</w:t>
      </w:r>
      <w:r w:rsidR="001E77D6">
        <w:t>2</w:t>
      </w:r>
      <w:r w:rsidR="006C188D">
        <w:t>1</w:t>
      </w:r>
      <w:r w:rsidR="009048C1">
        <w:t xml:space="preserve"> </w:t>
      </w:r>
      <w:r>
        <w:t xml:space="preserve">statutory quarterly statements.  </w:t>
      </w:r>
    </w:p>
    <w:p w14:paraId="5FA7BBA0" w14:textId="77777777" w:rsidR="001D118C" w:rsidRDefault="001D118C" w:rsidP="00FE4990">
      <w:pPr>
        <w:pStyle w:val="BodyText3"/>
        <w:spacing w:line="276" w:lineRule="auto"/>
      </w:pPr>
    </w:p>
    <w:p w14:paraId="40D5E2F5" w14:textId="6B6ACB45" w:rsidR="001D118C" w:rsidRDefault="001D118C" w:rsidP="00FE4990">
      <w:pPr>
        <w:pStyle w:val="BodyText3"/>
        <w:spacing w:line="276" w:lineRule="auto"/>
        <w:rPr>
          <w:b/>
          <w:i w:val="0"/>
          <w:u w:val="single"/>
        </w:rPr>
      </w:pPr>
      <w:r>
        <w:rPr>
          <w:b/>
          <w:i w:val="0"/>
          <w:u w:val="single"/>
        </w:rPr>
        <w:t xml:space="preserve">Changes in the Company’s Financial Situation that Require Interim Reporting to the Department During </w:t>
      </w:r>
      <w:r w:rsidR="00854828">
        <w:rPr>
          <w:b/>
          <w:i w:val="0"/>
          <w:u w:val="single"/>
        </w:rPr>
        <w:t>20</w:t>
      </w:r>
      <w:r w:rsidR="001E77D6">
        <w:rPr>
          <w:b/>
          <w:i w:val="0"/>
          <w:u w:val="single"/>
        </w:rPr>
        <w:t>2</w:t>
      </w:r>
      <w:r w:rsidR="006C188D">
        <w:rPr>
          <w:b/>
          <w:i w:val="0"/>
          <w:u w:val="single"/>
        </w:rPr>
        <w:t>1</w:t>
      </w:r>
    </w:p>
    <w:p w14:paraId="6870B82E" w14:textId="77777777" w:rsidR="001D118C" w:rsidRDefault="001D118C" w:rsidP="00FE4990">
      <w:pPr>
        <w:pStyle w:val="BodyText3"/>
        <w:spacing w:line="276" w:lineRule="auto"/>
        <w:rPr>
          <w:b/>
          <w:i w:val="0"/>
          <w:u w:val="single"/>
        </w:rPr>
      </w:pPr>
    </w:p>
    <w:p w14:paraId="47569B1F" w14:textId="16E811DB" w:rsidR="001D118C" w:rsidRDefault="001D118C" w:rsidP="00FE4990">
      <w:pPr>
        <w:pStyle w:val="BodyText3"/>
        <w:spacing w:line="276" w:lineRule="auto"/>
        <w:rPr>
          <w:i w:val="0"/>
        </w:rPr>
      </w:pPr>
      <w:r>
        <w:rPr>
          <w:i w:val="0"/>
        </w:rPr>
        <w:t xml:space="preserve">If the Company is granted an exemption from filing the </w:t>
      </w:r>
      <w:r w:rsidR="00854828">
        <w:rPr>
          <w:i w:val="0"/>
        </w:rPr>
        <w:t>20</w:t>
      </w:r>
      <w:r w:rsidR="001E77D6">
        <w:rPr>
          <w:i w:val="0"/>
        </w:rPr>
        <w:t>2</w:t>
      </w:r>
      <w:r w:rsidR="006C188D">
        <w:rPr>
          <w:i w:val="0"/>
        </w:rPr>
        <w:t>1</w:t>
      </w:r>
      <w:r w:rsidR="009048C1">
        <w:rPr>
          <w:i w:val="0"/>
        </w:rPr>
        <w:t xml:space="preserve"> </w:t>
      </w:r>
      <w:r>
        <w:rPr>
          <w:i w:val="0"/>
        </w:rPr>
        <w:t xml:space="preserve">quarterly financial statements, the Company must monitor its financial situation throughout </w:t>
      </w:r>
      <w:r w:rsidR="00854828">
        <w:rPr>
          <w:i w:val="0"/>
        </w:rPr>
        <w:t>20</w:t>
      </w:r>
      <w:r w:rsidR="001E77D6">
        <w:rPr>
          <w:i w:val="0"/>
        </w:rPr>
        <w:t>2</w:t>
      </w:r>
      <w:r w:rsidR="006C188D">
        <w:rPr>
          <w:i w:val="0"/>
        </w:rPr>
        <w:t>1 to</w:t>
      </w:r>
      <w:r>
        <w:rPr>
          <w:i w:val="0"/>
        </w:rPr>
        <w:t xml:space="preserve"> determine if any of the following situations occur:</w:t>
      </w:r>
    </w:p>
    <w:p w14:paraId="6089C901" w14:textId="77777777" w:rsidR="001D118C" w:rsidRDefault="001D118C" w:rsidP="00FE4990">
      <w:pPr>
        <w:spacing w:line="276" w:lineRule="auto"/>
        <w:rPr>
          <w:rFonts w:ascii="Arial" w:hAnsi="Arial"/>
          <w:sz w:val="22"/>
        </w:rPr>
      </w:pPr>
    </w:p>
    <w:p w14:paraId="20F115EA" w14:textId="77777777" w:rsidR="001D118C" w:rsidRDefault="001D118C" w:rsidP="00FE4990">
      <w:pPr>
        <w:numPr>
          <w:ilvl w:val="0"/>
          <w:numId w:val="8"/>
        </w:numPr>
        <w:spacing w:line="276" w:lineRule="auto"/>
        <w:rPr>
          <w:rFonts w:ascii="Arial" w:hAnsi="Arial"/>
          <w:b/>
          <w:sz w:val="22"/>
        </w:rPr>
      </w:pPr>
      <w:r>
        <w:rPr>
          <w:rFonts w:ascii="Arial" w:hAnsi="Arial"/>
          <w:b/>
          <w:sz w:val="22"/>
        </w:rPr>
        <w:t>Increase in Gross Premiums Written</w:t>
      </w:r>
    </w:p>
    <w:p w14:paraId="5BE270B9" w14:textId="77777777" w:rsidR="001D118C" w:rsidRDefault="001D118C" w:rsidP="00FE4990">
      <w:pPr>
        <w:spacing w:line="276" w:lineRule="auto"/>
        <w:rPr>
          <w:rFonts w:ascii="Arial" w:hAnsi="Arial"/>
          <w:b/>
          <w:sz w:val="22"/>
        </w:rPr>
      </w:pPr>
    </w:p>
    <w:p w14:paraId="190B4453" w14:textId="458AF5C2" w:rsidR="001D118C" w:rsidRDefault="001D118C" w:rsidP="00FE4990">
      <w:pPr>
        <w:pStyle w:val="BodyTextIndent"/>
        <w:spacing w:line="276" w:lineRule="auto"/>
      </w:pPr>
      <w:r>
        <w:t xml:space="preserve">If the Company’s annualized gross premiums written increase to an amount that is 25% more than the gross premiums written as of December 31, </w:t>
      </w:r>
      <w:r w:rsidR="00854828">
        <w:t>20</w:t>
      </w:r>
      <w:r w:rsidR="006C188D">
        <w:t>20</w:t>
      </w:r>
      <w:r>
        <w:t>, the Company must notify the Department of these increased writings and file quarterly statements for the remainder of the year.</w:t>
      </w:r>
    </w:p>
    <w:p w14:paraId="6048D2D5" w14:textId="77777777" w:rsidR="001D118C" w:rsidRDefault="001D118C" w:rsidP="00FE4990">
      <w:pPr>
        <w:spacing w:line="276" w:lineRule="auto"/>
        <w:ind w:left="360"/>
        <w:rPr>
          <w:rFonts w:ascii="Arial" w:hAnsi="Arial"/>
          <w:sz w:val="22"/>
        </w:rPr>
      </w:pPr>
    </w:p>
    <w:p w14:paraId="64CD156F" w14:textId="77777777" w:rsidR="001D118C" w:rsidRDefault="001D118C" w:rsidP="00FE4990">
      <w:pPr>
        <w:numPr>
          <w:ilvl w:val="0"/>
          <w:numId w:val="9"/>
        </w:numPr>
        <w:spacing w:line="276" w:lineRule="auto"/>
        <w:rPr>
          <w:rFonts w:ascii="Arial" w:hAnsi="Arial"/>
          <w:b/>
          <w:sz w:val="22"/>
        </w:rPr>
      </w:pPr>
      <w:r>
        <w:rPr>
          <w:rFonts w:ascii="Arial" w:hAnsi="Arial"/>
          <w:b/>
          <w:sz w:val="22"/>
        </w:rPr>
        <w:t>Changes in the Company’s Reinsurance Program</w:t>
      </w:r>
    </w:p>
    <w:p w14:paraId="2ABC3E48" w14:textId="77777777" w:rsidR="001D118C" w:rsidRDefault="001D118C" w:rsidP="00FE4990">
      <w:pPr>
        <w:spacing w:line="276" w:lineRule="auto"/>
        <w:rPr>
          <w:rFonts w:ascii="Arial" w:hAnsi="Arial"/>
          <w:b/>
          <w:sz w:val="22"/>
        </w:rPr>
      </w:pPr>
    </w:p>
    <w:p w14:paraId="12AE2CC5" w14:textId="77777777" w:rsidR="001D118C" w:rsidRDefault="001D118C" w:rsidP="00FE4990">
      <w:pPr>
        <w:pStyle w:val="BodyTextIndent"/>
        <w:spacing w:line="276" w:lineRule="auto"/>
      </w:pPr>
      <w:r>
        <w:t>The Company must report to the Department all changes in the Company’s reinsurance program.  The Department will review these changes to determine if the Company must file quarterly statements for the remainder of the year.</w:t>
      </w:r>
    </w:p>
    <w:p w14:paraId="3EF84886" w14:textId="77777777" w:rsidR="001D118C" w:rsidRDefault="001D118C" w:rsidP="00FE4990">
      <w:pPr>
        <w:spacing w:line="276" w:lineRule="auto"/>
        <w:ind w:left="360"/>
        <w:rPr>
          <w:rFonts w:ascii="Arial" w:hAnsi="Arial"/>
          <w:sz w:val="22"/>
        </w:rPr>
      </w:pPr>
    </w:p>
    <w:p w14:paraId="5603170B" w14:textId="77777777" w:rsidR="001D118C" w:rsidRDefault="001D118C" w:rsidP="00FE4990">
      <w:pPr>
        <w:pStyle w:val="BodyTextIndent2"/>
        <w:spacing w:line="276" w:lineRule="auto"/>
        <w:rPr>
          <w:b w:val="0"/>
        </w:rPr>
      </w:pPr>
      <w:r>
        <w:rPr>
          <w:b w:val="0"/>
        </w:rPr>
        <w:t>N</w:t>
      </w:r>
      <w:r w:rsidR="009222DB">
        <w:rPr>
          <w:b w:val="0"/>
        </w:rPr>
        <w:t>OTE</w:t>
      </w:r>
      <w:r>
        <w:rPr>
          <w:b w:val="0"/>
        </w:rPr>
        <w:t>:  If the Company’s ultimate net retention changes by more than twenty percent of prior-year’s surplus, then the Company must file quarterly statements for the remainder of the year.</w:t>
      </w:r>
    </w:p>
    <w:p w14:paraId="1009518A" w14:textId="77777777" w:rsidR="001D118C" w:rsidRDefault="001D118C" w:rsidP="00FE4990">
      <w:pPr>
        <w:pStyle w:val="BodyTextIndent2"/>
        <w:numPr>
          <w:ilvl w:val="0"/>
          <w:numId w:val="10"/>
        </w:numPr>
        <w:spacing w:line="276" w:lineRule="auto"/>
        <w:rPr>
          <w:i w:val="0"/>
        </w:rPr>
      </w:pPr>
      <w:r>
        <w:rPr>
          <w:i w:val="0"/>
        </w:rPr>
        <w:lastRenderedPageBreak/>
        <w:t>Catastrophic Events in Counties Where Company Writes Business</w:t>
      </w:r>
    </w:p>
    <w:p w14:paraId="5089C59E" w14:textId="77777777" w:rsidR="001D118C" w:rsidRDefault="001D118C" w:rsidP="00FE4990">
      <w:pPr>
        <w:pStyle w:val="BodyTextIndent2"/>
        <w:spacing w:line="276" w:lineRule="auto"/>
        <w:rPr>
          <w:i w:val="0"/>
        </w:rPr>
      </w:pPr>
    </w:p>
    <w:p w14:paraId="506F17DD" w14:textId="77777777" w:rsidR="001D118C" w:rsidRDefault="001D118C" w:rsidP="00FE4990">
      <w:pPr>
        <w:pStyle w:val="BodyTextIndent2"/>
        <w:spacing w:line="276" w:lineRule="auto"/>
        <w:rPr>
          <w:b w:val="0"/>
          <w:i w:val="0"/>
        </w:rPr>
      </w:pPr>
      <w:r>
        <w:rPr>
          <w:b w:val="0"/>
          <w:i w:val="0"/>
        </w:rPr>
        <w:t>If, due to a catastrophic event, any of the counties in which the Company writes business are declared a federal disaster area and eligible for federal funding, the Company may be required to begin filing quarterly statements in order that the Department can evaluate the impact of this catastrophe on the Company’s financial position.</w:t>
      </w:r>
    </w:p>
    <w:p w14:paraId="50F34E7A" w14:textId="77777777" w:rsidR="001D118C" w:rsidRDefault="001D118C" w:rsidP="00FE4990">
      <w:pPr>
        <w:pStyle w:val="BodyTextIndent2"/>
        <w:spacing w:line="276" w:lineRule="auto"/>
        <w:rPr>
          <w:b w:val="0"/>
          <w:i w:val="0"/>
        </w:rPr>
      </w:pPr>
    </w:p>
    <w:p w14:paraId="21168C51" w14:textId="77777777" w:rsidR="001D118C" w:rsidRDefault="001D118C" w:rsidP="00FE4990">
      <w:pPr>
        <w:pStyle w:val="BodyTextIndent2"/>
        <w:spacing w:line="276" w:lineRule="auto"/>
        <w:ind w:left="0"/>
        <w:rPr>
          <w:b w:val="0"/>
          <w:i w:val="0"/>
        </w:rPr>
      </w:pPr>
      <w:r>
        <w:rPr>
          <w:b w:val="0"/>
          <w:i w:val="0"/>
        </w:rPr>
        <w:t xml:space="preserve">The criteria developed by the Department for the quarterly statement exemptions may </w:t>
      </w:r>
      <w:r w:rsidR="009222DB">
        <w:rPr>
          <w:b w:val="0"/>
          <w:i w:val="0"/>
        </w:rPr>
        <w:t xml:space="preserve">be </w:t>
      </w:r>
      <w:r>
        <w:rPr>
          <w:b w:val="0"/>
          <w:i w:val="0"/>
        </w:rPr>
        <w:t>amended as the Department determines which information is most useful in evaluating requests for quarterly statement exemptions.</w:t>
      </w:r>
    </w:p>
    <w:p w14:paraId="3AC36EA7" w14:textId="77777777" w:rsidR="001D118C" w:rsidRDefault="001D118C" w:rsidP="00FE4990">
      <w:pPr>
        <w:pStyle w:val="BodyTextIndent2"/>
        <w:spacing w:line="276" w:lineRule="auto"/>
        <w:ind w:left="0"/>
        <w:rPr>
          <w:b w:val="0"/>
          <w:i w:val="0"/>
        </w:rPr>
      </w:pPr>
    </w:p>
    <w:p w14:paraId="7678E318" w14:textId="2E992B20" w:rsidR="001D118C" w:rsidRDefault="001D118C" w:rsidP="00FE4990">
      <w:pPr>
        <w:pStyle w:val="BodyTextIndent2"/>
        <w:spacing w:line="276" w:lineRule="auto"/>
        <w:ind w:left="0"/>
        <w:rPr>
          <w:b w:val="0"/>
          <w:i w:val="0"/>
        </w:rPr>
      </w:pPr>
      <w:r>
        <w:rPr>
          <w:b w:val="0"/>
          <w:i w:val="0"/>
        </w:rPr>
        <w:t xml:space="preserve">All requests for exemptions from the </w:t>
      </w:r>
      <w:r w:rsidR="00854828">
        <w:rPr>
          <w:b w:val="0"/>
          <w:i w:val="0"/>
        </w:rPr>
        <w:t>20</w:t>
      </w:r>
      <w:r w:rsidR="001E77D6">
        <w:rPr>
          <w:b w:val="0"/>
          <w:i w:val="0"/>
        </w:rPr>
        <w:t>2</w:t>
      </w:r>
      <w:r w:rsidR="006C188D">
        <w:rPr>
          <w:b w:val="0"/>
          <w:i w:val="0"/>
        </w:rPr>
        <w:t>1</w:t>
      </w:r>
      <w:r w:rsidR="009048C1">
        <w:rPr>
          <w:b w:val="0"/>
          <w:i w:val="0"/>
        </w:rPr>
        <w:t xml:space="preserve"> </w:t>
      </w:r>
      <w:r w:rsidR="00FC4965">
        <w:rPr>
          <w:b w:val="0"/>
          <w:i w:val="0"/>
        </w:rPr>
        <w:t>quarterly</w:t>
      </w:r>
      <w:r>
        <w:rPr>
          <w:b w:val="0"/>
          <w:i w:val="0"/>
        </w:rPr>
        <w:t xml:space="preserve"> statutory financial statement filing requirements must be submitted to the attention of </w:t>
      </w:r>
      <w:r w:rsidR="009222DB">
        <w:rPr>
          <w:b w:val="0"/>
          <w:i w:val="0"/>
        </w:rPr>
        <w:t>Tammy Turner</w:t>
      </w:r>
      <w:r>
        <w:rPr>
          <w:b w:val="0"/>
          <w:i w:val="0"/>
        </w:rPr>
        <w:t xml:space="preserve">, </w:t>
      </w:r>
      <w:r w:rsidR="009B1B98">
        <w:rPr>
          <w:b w:val="0"/>
          <w:i w:val="0"/>
        </w:rPr>
        <w:t>Assistant Chief</w:t>
      </w:r>
      <w:r>
        <w:rPr>
          <w:b w:val="0"/>
          <w:i w:val="0"/>
        </w:rPr>
        <w:t xml:space="preserve"> Financial Analyst at:</w:t>
      </w:r>
    </w:p>
    <w:p w14:paraId="6EA3E69A" w14:textId="77777777" w:rsidR="0025799F" w:rsidRDefault="0025799F" w:rsidP="00FE4990">
      <w:pPr>
        <w:spacing w:line="276" w:lineRule="auto"/>
        <w:rPr>
          <w:sz w:val="16"/>
          <w:szCs w:val="16"/>
        </w:rPr>
      </w:pPr>
    </w:p>
    <w:p w14:paraId="20D28C0C" w14:textId="0C34D00C" w:rsidR="001D118C" w:rsidRDefault="001D118C" w:rsidP="00FE4990">
      <w:pPr>
        <w:pStyle w:val="BodyTextIndent2"/>
        <w:spacing w:line="276" w:lineRule="auto"/>
        <w:ind w:left="0"/>
        <w:rPr>
          <w:b w:val="0"/>
          <w:i w:val="0"/>
        </w:rPr>
      </w:pPr>
      <w:r>
        <w:rPr>
          <w:b w:val="0"/>
          <w:i w:val="0"/>
        </w:rPr>
        <w:t>North Carolina Department of Insurance</w:t>
      </w:r>
    </w:p>
    <w:p w14:paraId="611E1E38" w14:textId="3DC30940" w:rsidR="00052D1B" w:rsidRDefault="006C188D" w:rsidP="00FE4990">
      <w:pPr>
        <w:pStyle w:val="BodyTextIndent2"/>
        <w:spacing w:line="276" w:lineRule="auto"/>
        <w:ind w:left="0"/>
        <w:rPr>
          <w:b w:val="0"/>
          <w:i w:val="0"/>
        </w:rPr>
      </w:pPr>
      <w:r>
        <w:rPr>
          <w:b w:val="0"/>
          <w:i w:val="0"/>
        </w:rPr>
        <w:t>Company Services Group</w:t>
      </w:r>
    </w:p>
    <w:p w14:paraId="485363A1" w14:textId="77777777" w:rsidR="001D118C" w:rsidRDefault="001D118C" w:rsidP="00FE4990">
      <w:pPr>
        <w:pStyle w:val="BodyTextIndent2"/>
        <w:spacing w:line="276" w:lineRule="auto"/>
        <w:ind w:left="0"/>
        <w:rPr>
          <w:b w:val="0"/>
          <w:i w:val="0"/>
        </w:rPr>
      </w:pPr>
      <w:r>
        <w:rPr>
          <w:b w:val="0"/>
          <w:i w:val="0"/>
        </w:rPr>
        <w:t>Financial Analysis Section</w:t>
      </w:r>
    </w:p>
    <w:p w14:paraId="4221E4F7" w14:textId="77777777" w:rsidR="001D118C" w:rsidRDefault="001D118C" w:rsidP="00FE4990">
      <w:pPr>
        <w:pStyle w:val="BodyTextIndent2"/>
        <w:spacing w:line="276" w:lineRule="auto"/>
        <w:ind w:left="0"/>
        <w:rPr>
          <w:b w:val="0"/>
          <w:i w:val="0"/>
        </w:rPr>
      </w:pPr>
      <w:r>
        <w:rPr>
          <w:b w:val="0"/>
          <w:i w:val="0"/>
        </w:rPr>
        <w:t>1203 Mail Service Center</w:t>
      </w:r>
    </w:p>
    <w:p w14:paraId="2330ED22" w14:textId="77777777" w:rsidR="00FE4990" w:rsidRDefault="001D118C" w:rsidP="00FE4990">
      <w:pPr>
        <w:pStyle w:val="BodyTextIndent2"/>
        <w:spacing w:line="276" w:lineRule="auto"/>
        <w:ind w:left="0"/>
        <w:rPr>
          <w:b w:val="0"/>
          <w:i w:val="0"/>
        </w:rPr>
      </w:pPr>
      <w:r>
        <w:rPr>
          <w:b w:val="0"/>
          <w:i w:val="0"/>
        </w:rPr>
        <w:t>Raleigh, NC  27699-1203</w:t>
      </w:r>
    </w:p>
    <w:p w14:paraId="2AE8B681" w14:textId="77777777" w:rsidR="00FE4990" w:rsidRDefault="00FE4990" w:rsidP="00FE4990">
      <w:pPr>
        <w:pStyle w:val="BodyTextIndent2"/>
        <w:spacing w:line="276" w:lineRule="auto"/>
        <w:ind w:left="0"/>
        <w:rPr>
          <w:b w:val="0"/>
          <w:i w:val="0"/>
        </w:rPr>
      </w:pPr>
    </w:p>
    <w:p w14:paraId="5D6CE0C8" w14:textId="3CAE4EB0" w:rsidR="001D118C" w:rsidRDefault="00FE4990" w:rsidP="00FE4990">
      <w:pPr>
        <w:pStyle w:val="BodyTextIndent2"/>
        <w:spacing w:line="276" w:lineRule="auto"/>
        <w:ind w:left="0"/>
        <w:rPr>
          <w:b w:val="0"/>
          <w:i w:val="0"/>
        </w:rPr>
      </w:pPr>
      <w:r>
        <w:rPr>
          <w:b w:val="0"/>
          <w:i w:val="0"/>
        </w:rPr>
        <w:t>I</w:t>
      </w:r>
      <w:r w:rsidR="001D118C">
        <w:rPr>
          <w:b w:val="0"/>
          <w:i w:val="0"/>
        </w:rPr>
        <w:t xml:space="preserve">f you have any questions regarding quarterly statement exemptions, please contact </w:t>
      </w:r>
      <w:r w:rsidR="009222DB">
        <w:rPr>
          <w:b w:val="0"/>
          <w:i w:val="0"/>
        </w:rPr>
        <w:t>Tammy Turner</w:t>
      </w:r>
      <w:r w:rsidR="001D118C">
        <w:rPr>
          <w:b w:val="0"/>
          <w:i w:val="0"/>
        </w:rPr>
        <w:t xml:space="preserve"> at (919) </w:t>
      </w:r>
      <w:r w:rsidR="00BB3C4B">
        <w:rPr>
          <w:b w:val="0"/>
          <w:i w:val="0"/>
        </w:rPr>
        <w:t>807-61</w:t>
      </w:r>
      <w:r w:rsidR="009222DB">
        <w:rPr>
          <w:b w:val="0"/>
          <w:i w:val="0"/>
        </w:rPr>
        <w:t xml:space="preserve">77 </w:t>
      </w:r>
      <w:r w:rsidR="001D118C">
        <w:rPr>
          <w:b w:val="0"/>
          <w:i w:val="0"/>
        </w:rPr>
        <w:t>or by email at</w:t>
      </w:r>
      <w:r w:rsidR="009222DB">
        <w:rPr>
          <w:b w:val="0"/>
          <w:i w:val="0"/>
        </w:rPr>
        <w:t xml:space="preserve"> tammy.turner@ncdoi.gov.</w:t>
      </w:r>
    </w:p>
    <w:sectPr w:rsidR="001D118C" w:rsidSect="001E7924">
      <w:pgSz w:w="12240" w:h="15840"/>
      <w:pgMar w:top="720" w:right="144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74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2F2842"/>
    <w:multiLevelType w:val="singleLevel"/>
    <w:tmpl w:val="64847C7C"/>
    <w:lvl w:ilvl="0">
      <w:start w:val="4"/>
      <w:numFmt w:val="decimal"/>
      <w:lvlText w:val="%1."/>
      <w:lvlJc w:val="left"/>
      <w:pPr>
        <w:tabs>
          <w:tab w:val="num" w:pos="360"/>
        </w:tabs>
        <w:ind w:left="360" w:hanging="360"/>
      </w:pPr>
      <w:rPr>
        <w:rFonts w:ascii="Arial" w:hAnsi="Arial" w:hint="default"/>
        <w:b/>
        <w:i w:val="0"/>
        <w:sz w:val="22"/>
      </w:rPr>
    </w:lvl>
  </w:abstractNum>
  <w:abstractNum w:abstractNumId="3" w15:restartNumberingAfterBreak="0">
    <w:nsid w:val="1F7E6E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F357DF"/>
    <w:multiLevelType w:val="multilevel"/>
    <w:tmpl w:val="BD0ADA6E"/>
    <w:lvl w:ilvl="0">
      <w:start w:val="1"/>
      <w:numFmt w:val="lowerLetter"/>
      <w:lvlText w:val="%1)"/>
      <w:lvlJc w:val="left"/>
      <w:pPr>
        <w:tabs>
          <w:tab w:val="num" w:pos="360"/>
        </w:tabs>
        <w:ind w:left="360" w:hanging="360"/>
      </w:pPr>
      <w:rPr>
        <w:rFonts w:ascii="Arial" w:hAnsi="Arial" w:hint="default"/>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5B4D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8B4D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FA443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26264A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64452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A574B9"/>
    <w:multiLevelType w:val="hybridMultilevel"/>
    <w:tmpl w:val="6FE627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0"/>
  </w:num>
  <w:num w:numId="4">
    <w:abstractNumId w:val="7"/>
  </w:num>
  <w:num w:numId="5">
    <w:abstractNumId w:val="8"/>
  </w:num>
  <w:num w:numId="6">
    <w:abstractNumId w:val="2"/>
  </w:num>
  <w:num w:numId="7">
    <w:abstractNumId w:val="4"/>
  </w:num>
  <w:num w:numId="8">
    <w:abstractNumId w:val="1"/>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E4DF8"/>
    <w:rsid w:val="0003015F"/>
    <w:rsid w:val="000377A1"/>
    <w:rsid w:val="00052D1B"/>
    <w:rsid w:val="00053B43"/>
    <w:rsid w:val="000573A3"/>
    <w:rsid w:val="00072B3D"/>
    <w:rsid w:val="000C5C2D"/>
    <w:rsid w:val="001017A6"/>
    <w:rsid w:val="00185DA9"/>
    <w:rsid w:val="001D118C"/>
    <w:rsid w:val="001E77D6"/>
    <w:rsid w:val="001E7924"/>
    <w:rsid w:val="00215838"/>
    <w:rsid w:val="00247751"/>
    <w:rsid w:val="0025799F"/>
    <w:rsid w:val="002641C2"/>
    <w:rsid w:val="00295002"/>
    <w:rsid w:val="00296099"/>
    <w:rsid w:val="002A1238"/>
    <w:rsid w:val="002C7CFE"/>
    <w:rsid w:val="002F3D96"/>
    <w:rsid w:val="00386B89"/>
    <w:rsid w:val="004B2741"/>
    <w:rsid w:val="004D13DA"/>
    <w:rsid w:val="005334E8"/>
    <w:rsid w:val="0053440F"/>
    <w:rsid w:val="005818E2"/>
    <w:rsid w:val="0058513B"/>
    <w:rsid w:val="00636933"/>
    <w:rsid w:val="006566B5"/>
    <w:rsid w:val="006C188D"/>
    <w:rsid w:val="00712EBA"/>
    <w:rsid w:val="00724F9D"/>
    <w:rsid w:val="00754DF3"/>
    <w:rsid w:val="00793F63"/>
    <w:rsid w:val="007D1CCB"/>
    <w:rsid w:val="007D57E0"/>
    <w:rsid w:val="007E2A1D"/>
    <w:rsid w:val="00832EE7"/>
    <w:rsid w:val="00843EA4"/>
    <w:rsid w:val="00854828"/>
    <w:rsid w:val="008A36B0"/>
    <w:rsid w:val="008B19E5"/>
    <w:rsid w:val="008E4DF8"/>
    <w:rsid w:val="009048C1"/>
    <w:rsid w:val="00905A23"/>
    <w:rsid w:val="009222DB"/>
    <w:rsid w:val="00941784"/>
    <w:rsid w:val="00974742"/>
    <w:rsid w:val="0097796E"/>
    <w:rsid w:val="009B1B98"/>
    <w:rsid w:val="00A44A43"/>
    <w:rsid w:val="00A54383"/>
    <w:rsid w:val="00BA6C9D"/>
    <w:rsid w:val="00BB3C4B"/>
    <w:rsid w:val="00CA3ABF"/>
    <w:rsid w:val="00CD6911"/>
    <w:rsid w:val="00D761D0"/>
    <w:rsid w:val="00DA054E"/>
    <w:rsid w:val="00DC7B69"/>
    <w:rsid w:val="00E37803"/>
    <w:rsid w:val="00EC3DAB"/>
    <w:rsid w:val="00EC5891"/>
    <w:rsid w:val="00ED7BE9"/>
    <w:rsid w:val="00F1356D"/>
    <w:rsid w:val="00F51379"/>
    <w:rsid w:val="00F828A0"/>
    <w:rsid w:val="00FB6065"/>
    <w:rsid w:val="00FC4965"/>
    <w:rsid w:val="00FE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FAEEA"/>
  <w15:docId w15:val="{24A0FFBD-255B-447D-92EF-91AE1A86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7E0"/>
  </w:style>
  <w:style w:type="paragraph" w:styleId="Heading1">
    <w:name w:val="heading 1"/>
    <w:basedOn w:val="Normal"/>
    <w:next w:val="Normal"/>
    <w:qFormat/>
    <w:rsid w:val="007D57E0"/>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57E0"/>
    <w:pPr>
      <w:jc w:val="center"/>
    </w:pPr>
    <w:rPr>
      <w:rFonts w:ascii="Arial" w:hAnsi="Arial"/>
      <w:b/>
      <w:sz w:val="28"/>
    </w:rPr>
  </w:style>
  <w:style w:type="paragraph" w:styleId="BodyText2">
    <w:name w:val="Body Text 2"/>
    <w:basedOn w:val="Normal"/>
    <w:rsid w:val="007D57E0"/>
    <w:rPr>
      <w:rFonts w:ascii="Arial" w:hAnsi="Arial"/>
      <w:sz w:val="22"/>
    </w:rPr>
  </w:style>
  <w:style w:type="paragraph" w:styleId="BodyText3">
    <w:name w:val="Body Text 3"/>
    <w:basedOn w:val="Normal"/>
    <w:rsid w:val="007D57E0"/>
    <w:rPr>
      <w:rFonts w:ascii="Arial" w:hAnsi="Arial"/>
      <w:i/>
      <w:sz w:val="22"/>
    </w:rPr>
  </w:style>
  <w:style w:type="paragraph" w:styleId="BodyTextIndent">
    <w:name w:val="Body Text Indent"/>
    <w:basedOn w:val="Normal"/>
    <w:rsid w:val="007D57E0"/>
    <w:pPr>
      <w:ind w:left="360"/>
    </w:pPr>
    <w:rPr>
      <w:rFonts w:ascii="Arial" w:hAnsi="Arial"/>
      <w:sz w:val="22"/>
    </w:rPr>
  </w:style>
  <w:style w:type="paragraph" w:styleId="BodyTextIndent2">
    <w:name w:val="Body Text Indent 2"/>
    <w:basedOn w:val="Normal"/>
    <w:rsid w:val="007D57E0"/>
    <w:pPr>
      <w:ind w:left="360"/>
    </w:pPr>
    <w:rPr>
      <w:rFonts w:ascii="Arial" w:hAnsi="Arial"/>
      <w:b/>
      <w:i/>
      <w:sz w:val="22"/>
    </w:rPr>
  </w:style>
  <w:style w:type="character" w:styleId="CommentReference">
    <w:name w:val="annotation reference"/>
    <w:basedOn w:val="DefaultParagraphFont"/>
    <w:semiHidden/>
    <w:rsid w:val="007D57E0"/>
    <w:rPr>
      <w:sz w:val="16"/>
    </w:rPr>
  </w:style>
  <w:style w:type="paragraph" w:styleId="CommentText">
    <w:name w:val="annotation text"/>
    <w:basedOn w:val="Normal"/>
    <w:semiHidden/>
    <w:rsid w:val="007D57E0"/>
  </w:style>
  <w:style w:type="character" w:styleId="Hyperlink">
    <w:name w:val="Hyperlink"/>
    <w:basedOn w:val="DefaultParagraphFont"/>
    <w:rsid w:val="007D57E0"/>
    <w:rPr>
      <w:color w:val="0000FF"/>
      <w:u w:val="single"/>
    </w:rPr>
  </w:style>
  <w:style w:type="paragraph" w:styleId="BalloonText">
    <w:name w:val="Balloon Text"/>
    <w:basedOn w:val="Normal"/>
    <w:semiHidden/>
    <w:rsid w:val="00EC5891"/>
    <w:rPr>
      <w:rFonts w:ascii="Tahoma" w:hAnsi="Tahoma" w:cs="Tahoma"/>
      <w:sz w:val="16"/>
      <w:szCs w:val="16"/>
    </w:rPr>
  </w:style>
  <w:style w:type="paragraph" w:styleId="CommentSubject">
    <w:name w:val="annotation subject"/>
    <w:basedOn w:val="CommentText"/>
    <w:next w:val="CommentText"/>
    <w:semiHidden/>
    <w:rsid w:val="001D118C"/>
    <w:rPr>
      <w:b/>
      <w:bCs/>
    </w:rPr>
  </w:style>
  <w:style w:type="paragraph" w:styleId="ListParagraph">
    <w:name w:val="List Paragraph"/>
    <w:basedOn w:val="Normal"/>
    <w:uiPriority w:val="34"/>
    <w:qFormat/>
    <w:rsid w:val="004D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5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2003 COUNTY FARM MUTUAL REQUEST FOR EXEMPTION FROM FILING QUARTERLY STATEMENTS</vt:lpstr>
    </vt:vector>
  </TitlesOfParts>
  <Company>N C Dept of Insurance</Company>
  <LinksUpToDate>false</LinksUpToDate>
  <CharactersWithSpaces>5574</CharactersWithSpaces>
  <SharedDoc>false</SharedDoc>
  <HLinks>
    <vt:vector size="6" baseType="variant">
      <vt:variant>
        <vt:i4>2359383</vt:i4>
      </vt:variant>
      <vt:variant>
        <vt:i4>0</vt:i4>
      </vt:variant>
      <vt:variant>
        <vt:i4>0</vt:i4>
      </vt:variant>
      <vt:variant>
        <vt:i4>5</vt:i4>
      </vt:variant>
      <vt:variant>
        <vt:lpwstr>mailto:jackie.obusek@ncdoi.gov.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COUNTY FARM MUTUAL REQUEST FOR EXEMPTION FROM FILING QUARTERLY STATEMENTS</dc:title>
  <dc:creator>Debbie Walker</dc:creator>
  <cp:lastModifiedBy>Holt, Sharon</cp:lastModifiedBy>
  <cp:revision>2</cp:revision>
  <cp:lastPrinted>2003-12-11T16:15:00Z</cp:lastPrinted>
  <dcterms:created xsi:type="dcterms:W3CDTF">2021-01-26T19:45:00Z</dcterms:created>
  <dcterms:modified xsi:type="dcterms:W3CDTF">2021-01-26T19:45:00Z</dcterms:modified>
</cp:coreProperties>
</file>